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GE.2019.0246 vom 5. Mai 2020</w:t>
      </w:r>
    </w:p>
    <w:p>
      <w:r>
        <w:t>VD Tribunal cantonal, 2020-05-05, FR</w:t>
      </w:r>
    </w:p>
    <w:p>
      <w:r>
        <w:rPr>
          <w:b/>
        </w:rPr>
        <w:t xml:space="preserve">Quelle: </w:t>
      </w:r>
      <w:r>
        <w:t>https://mcp.opencaselaw.ch/entscheid/vd_omni_GE.2019.0246</w:t>
      </w:r>
    </w:p>
    <w:p>
      <w:r>
        <w:t>FR: VD_OMNI GE.2019.0246 du 5 mai 2020</w:t>
      </w:r>
    </w:p>
    <w:p>
      <w:r>
        <w:t>IT: VD_OMNI GE.2019.0246 del 5 maggio 2020</w:t>
      </w:r>
    </w:p>
    <w:p>
      <w:pPr>
        <w:pStyle w:val="Heading2"/>
      </w:pPr>
      <w:r>
        <w:t>Regeste</w:t>
      </w:r>
    </w:p>
    <w:p>
      <w:r>
        <w:t>A.________/Service de l'emploi (SDE), Service de la population (SPOP) | En tant qu'employeur de fait, la société recourante devait vérifier si le travailleur étranger mis à sa disposition par une société tierce était autorisé à exercer une activité lucrative en Suisse, ce qu'elle n'a pas fait. Ce manque de diligence est constitutif d'une infraction au droit fédéral des étrangers, de sorte que la sommation adressée est justifiée. La société recourante doit également supporter les frais liés au contrôle durant lequel cette irrégularité a été constatée, frais dont le montant n'apparaît au demeurant pas disproportionné. Recours rejeté.</w:t>
      </w:r>
    </w:p>
    <w:p>
      <w:pPr>
        <w:pStyle w:val="Heading2"/>
      </w:pPr>
      <w:r>
        <w:t>Erwägungen</w:t>
      </w:r>
    </w:p>
    <w:p>
      <w:r>
        <w:rPr>
          <w:b/>
        </w:rPr>
        <w:t>E. 1</w:t>
      </w:r>
    </w:p>
    <w:p>
      <w:r>
        <w:t>a) Les décisions attaquées se fondent sur la loi cantonale du 5 juillet 2005 sur l’emploi (LEmp; BLV 822.11), dont l’art. 85 prévoit l’application de la loi cantonale du 28 octobre 2008 sur la procédure administrative (LPA-VD; BLV 173.36) aux décisions rendues, notamment, en application de la loi fédérale du 17 juin 2005 concernant des mesures en matière de lutte contre le travail au noir (LTN; RS 822.41) ainsi qu'aux recours contre lesdites décisions. b) Interjeté en temps utile, le recours satisfait par ailleurs aux autres conditions formelles de recevabilité (art. 79, 92, 95 et 99 LPA-VD), de sorte qu'il y a lieu d'entrer en matière sur le fond.</w:t>
      </w:r>
    </w:p>
    <w:p>
      <w:r>
        <w:rPr>
          <w:b/>
        </w:rPr>
        <w:t>E. 2</w:t>
      </w:r>
    </w:p>
    <w:p>
      <w:r>
        <w:t>La recourante se plaint du fait que l'autorité intimée aurait rendu sa décision " dans un délai très court ", sans tenir compte de certains éléments et sans réclamer plus d'information ou de document nécessaire à la procédure. Implicitement, la recourante invoque une violation de son droit d'être entendu.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w:t>
      </w:r>
    </w:p>
    <w:p>
      <w:r>
        <w:rPr>
          <w:b/>
        </w:rPr>
        <w:t>E. 2.3</w:t>
      </w:r>
    </w:p>
    <w:p>
      <w:r>
        <w:t>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En l'espèce, le 17 octobre 2019, l'autorité intimée a averti la recourante de l'ouverture d'une procédure à son endroit – au motif qu'un étranger aurait travaillé pour son compte en violation des prescriptions du droit des étrangers – et lui a imparti un délai pour se déterminer, de telle manière à ce qu'elle puisse prendre part activement au processus devant aboutir aux décisions litigieuses. Son droit d'être entendu a ainsi été respecté. A cela s'ajoute que, même à supposer avérée, une violation du droit d'être entendu  devrait de toute manière être tenue pour guérie en l'espèce, la recourante ayant eu l'occasion de produite toutes explications et pièces utiles devant le tribunal de céans, qui statue ici avec un pouvoir d’examen en fait et en droit. Pour le surplus, le délai de près d'un mois séparant le dépôt des observations du 25 octobre 2019 et le prononcé, le 21 novembre 2019, des décisions litigieuses ne permet pas de conclure que l'autorité intimée n'aurait pas examiné les circonstances de l'affaire avec toute la rigueur nécessaire. Dans ses critiques, la recourante s'en prend en réalité à l'appréciation faite par l'autorité. Or, le fait de savoir si, sur le fond, les décisions attaquées sont conformes au droit sera analysé ci-après.</w:t>
      </w:r>
    </w:p>
    <w:p>
      <w:r>
        <w:rPr>
          <w:b/>
        </w:rPr>
        <w:t>E. 3</w:t>
      </w:r>
    </w:p>
    <w:p>
      <w:r>
        <w:t>Il est reproché à la recourante d'avoir contrevenu à ses obligations en matière d'engagement de travailleurs étrangers. a) aa) La LTN institue en particulier des mécanismes de contrôle et de répression (art. 1 LTN). Les cantons doivent désigner, dans le cadre de leur législation, l’organe de contrôle cantonal compétent sur leur territoire (art. 4 al. 1 LTN). La LEmp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bb)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Dans ce cadre, l'art. 91 al. 1 LEI institue un devoir de diligence incombant à l'employeur qui doit s'assurer, avant d'engager un étranger, qu'il est autorisé à exercer une activité lucrative en Suisse en examinant son titre de séjour ou en se renseignant auprès des autorités compétentes. cc) Selon la jurisprudence rendue sous l'empire de la loi sur le séjour et l'établissement des étrangers du 26 mars 1931 (LSEE, en vigueur jusqu'au 31 décembre 2007), qui garde, pour l'essentiel, sa valeur sous l'empire de la LEI (cf. arrêt PE.2019.0157 du 3 février 2020 consid. 4b), la notion d'employeur est une notion autonome qui est plus large que celle du droit des obligations et englobe l'employeur de fait (ATF 128 IV 170 consid. 4.1; TF 2C_357/2009 du 16 novembre 2009 consid. 4.2; arrêt PE.2018.0369 du 4 mars 2019 consid. 2a/cc). Celui qui bénéficie effectivement des services d'un travailleur est un employeur nonobstant l'intervention d'un intermédiaire. Peu importe que les parties soient liées par un contrat de travail écrit ou qu'une rémunération soit versée et par qui (GE.2017.0186/PE.2017.0449 du 19 juin 2018 consid. 2a). Est déjà un employeur en ce sens celui qui occupe en fait un étranger dans son entreprise, sous sa surveillance et sous sa propre responsabilité et, par conséquent, en accepte les services (ATF 99 IV 110 consid. 1 p. 112 s.; TF 6B_511/2017 consid. 2.1; GE.2018.0013 du 30 janvier 2020 consid. 2c).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128 IV 170 consid. 4; arrêt GE.2018.0237/PE.2018.0453 du 12 juin 2019 consid. 3b). dd) Il est relativement courant dans le domaine de la construction que l’entrepreneur recoure pour l’exécution de certains travaux à du personnel dont les services lui sont momentanément loués par un autre entrepreneur (arrêt précité GE.2018.0237/PE.2018.0453 consid. 3d; GE.2017.0160/PE.2017.0390 du 18 décembre 2017 consid. 4a/dd). Un bailleur de services au sens de l'art. 12 de la loi fédérale sur le service de l'emploi et la location de services (LSE; RS 823.11) doit être considéré comme un employeur, sans égard au fait que les travailleurs qu'il loue se soient présentés de leur propre chef ou sur instruction d'un tiers en exécution d'un contrat de location de services. Dans l'hypothèse d'une chaîne de contrats de location, l'art. 91 LEI ne limite en effet pas le devoir de diligence à un seul employeur. Au contraire, le législateur a clairement voulu renforcer la lutte contre le travail au noir dont l'engagement de travailleurs étrangers dépourvus de titre de séjour et d'autorisation de travail constitue un segment important (message du Conseil fédéral du 16 janvier 2002, in: FF 2002 III 3371 p. 3406). Ainsi, l'obligation de diligence qu'impose l'art. 91 LEI au bailleur de services au sens de l'art. 12 LSE ne préjuge en rien de l'éventuelle obligation pour les autres parties aux contrats en chaîne de respecter un même devoir de diligence également fondé sur l'art. 91 LEI (TF 2C_357/2009 du 16 novembre 2009 consid. 5.2; arrêts précité PE.2019.0157 consid. 4b, GE.2018.0013 consid. 2c et GE.2018.0237/PE.2018.0453 consid. 3a). La simple omission de procéder à l'examen du titre de séjour ou de se renseigner auprès des autorités compétentes constitue déjà une violation du devoir de diligence (ATF 141 II 57 consid. 2.1 p. 59; TF 2C_197/2014 du 12 février 2015 consid. 2.1; 2C_1039/2013 du 16 avril 2014 consid. 5.1; GE.2018.0086 du 12 décembre 2018 consid. 1a). D'après la jurisprudence cantonale enfin, à l’instar d’un entrepreneur général vis-à-vis d’un sous-traitant, une entreprise locataire de services ne saurait s’exonérer de son devoir de diligence en mettant la faute sur le bailleur de services (arrêts PE.2017.0532 du 18 juin 2018 consid. 2a/cc; PE.2016.0360 du 31 janvier 2017 consid. 2b; GE.2016.0083/PE.2016.0208 du 20 octobre 2016 consid. 2c). Une entreprise occupant des travailleurs étrangers viole son devoir de diligence en omettant de se renseigner sur le statut des personnes qu'elle emploie auprès du SPOP (arrêt PE.2016.0360 précité consid. 2b et la réf. cit.). ff) Le non-respect de l'obligation de diligence prévue à l'art. 91 LEI expose l'employeur à la sanction prévue par l'art. 122 LEI (TF 2C_1068/2013 du 17 avril 2014 consid. 2; 2C_1039/2013 précité consid. 5.1). D'après cette disposition, si un employeur enfreint la LEI de manière répétée, l’autorité compétente peut rejeter entièrement ou partiellement ses demandes d’admission de travailleurs étrangers, à moins que ceux-ci aient un droit à l’autorisation (al. 1). L'autorité peut aussi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(arrêts PE.2018.0405 du 27 novembre 2019 consid. 2a; PE.2018. 0451 du 18 juillet 2019 consid. 2a). gg) Concernant la notion d'employeur au sens de l'art. 91 al. 1 LEI, les Directives et commentaires du Secrétariat d'Etat aux migrations (SEM) "Domaine des étrangers" (état au 1er novembre 2019) exposent ce qui suit (ch. 4.8.8.2 p. 125): "Il incombe à l’employeur de s’assurer que les travailleurs étrangers qu'il emploie soient en possession des autorisations de travail nécessaires (art. 91, al. 1, LEI). La LEI se base sur une notion factuelle du terme "employeur" (cf. également ATF 128 IV 170). Est considéré comme employeur quiconque occupe un travailleur étranger sous ses pouvoirs de direction, avec ses outils ou dans ses locaux commerciaux. Il est indifférent que les parties soient liées par un contrat de travail écrit. Dans le cas de la location de services, l'entreprise de mission – c'est-à-dire l'entreprise dans laquelle le travailleur étranger exécute effectivement son travail – est considérée comme l'employeur de facto.(...)" b) La recourante ne conteste pas qu'au jour du 11 septembre 2019, C.________ ne disposait pas d'une autorisation de travailler en Suisse. Elle fait cependant valoir que ce travailleur n'était pas son propre employé mais qu'il lui avait été mis à disposition par la société D.________. Elle se réfère au contrat de prêt de main-d'oeuvre qu'elle a conclu avec cette société le 5 septembre 2019 et dont il ressort que C.________ a été mis à la disposition de la recourante du 9 au 12 septembre 2019, en qualité d'aide-coffreur et pour un tarif horaire de 48 fr. (cf. articles 1, 2 et 6), ce travailleur recevant de la recourante toutes les instructions utiles à l'accomplissement de sa tâche (cf. article 4). Un tel contrat s'apparente à de la location de services à titre occasionnel. Or, en tant qu'elle a bénéficié dans les faits des services de ce travailleur étranger mis à sa disposition (loué ou prêté) par la société D.________, pour œuvrer sur son chantier et sous ses ordres, la recourante doit être considérée à tout le moins comme l'employeur de fait de C.________, comme l'a à juste titre retenu l'autorité intimée (cf. en ce sens l'arrêt PE.2018.0405 précité consid. 2b; GE.2018.0237/PE.2018.0453 consid. 3d; GE.2013.0154/PE.2013.0338 du 14 janvier 2014 consid. 2b). Dans ces circonstances, il n'y a pas lieu d'examiner plus avant l'incidence du prononcé le 22 août 2018 de la faillite de D.________ sur la capacité contractuelle de cette dernière. Il incombait ainsi à la recourante, conformément à l'art. 91 al. 1 LEI, de s'assurer préalablement que ce travailleur étranger occupé à son service sur son chantier était autorisé à exercer une activité lucrative en Suisse, en exigeant la production de son autorisation de travail de la part de son partenaire contractuel ou en se livrant elle-même aux vérifications nécessaires auprès des autorités compétentes. A défaut d'avoir procédé de la sorte, la recourante a violé son devoir de diligence (cf. supra consid. 3a/dd). Elle ne saurait s'exonérer de cette obligation en se réfugiant comme elle le fait derrière une prétendue tromperie de la société D.________, qui ne lui aurait pas indiqué lors de la conclusion du contrat le 5 septembre 2019 que C.________ ne disposait pas des autorisations nécessaires (cf. supra consid. 3a/dd). Pour les mêmes motifs, c'est en vain que la recourante fait grief à l'autorité intimée de ne pas avoir investigué auprès de la société D.________ et invité cette dernière à s'expliquer sur ce point. L'autorité intimée était ainsi fondée à signifier à la recourante un avertissement au sens de l'art. 122 al. 2 LEI, dont on rappelle qu'il peut être infligé à un employeur dès la première infraction commise (ATF 141 II 57 consid. 7 p. 65). La décision attaquée "Infraction au droit des étrangers", qui somme la recourante de respecter la procédure applicable à l'avenir, ménage les intérêts privés de l'intéressée et respecte ainsi le principe de proportionnalité, ce que la recourante ne remet d'ailleurs pas expressément en cause. Elle doit en conséquence être confirmée. Il en va de même de l'émolument de 250 fr. mis à la charge de la recourante, dont cette dernière conteste la quotité. L'art. 5 al. 1 ch. 23a du règlement vaudois du 8 janvier 2001 fixant les émoluments en matière administrative (RE-Adm; BLV 172.55.1), disposition qui ne laisse sur ce point aucun pouvoir d'appréciation à l'autorité (cf. arrêt PE.2018.0369 précité consid. 2b/cc), prévoit en effet le prélèvement d'un montant de 250 fr. pour une sommation.</w:t>
      </w:r>
    </w:p>
    <w:p>
      <w:r>
        <w:rPr>
          <w:b/>
        </w:rPr>
        <w:t>E. 4</w:t>
      </w:r>
    </w:p>
    <w:p>
      <w:r>
        <w:t>La recourante conteste également le principe de sa condamnation aux frais du contrôle effectué le 11 septembre 2019, considérant qu'elle n'a pas commis d'infraction au droit des étrangers. a) L'art. 16 al. 1 LTN prévoit que les contrôles sont financés par des émoluments perçus auprès des personnes contrôlées lorsque des atteintes au sens de l'art. 6 LTN ont été constatées (cf. aussi art. 7 al. 1 de l'ordonnance fédérale du 6 septembre 2006 concernant les mesures en matière de lutte contre le travail au noir [OTN; RS 822.411]); le Conseil fédéral règle les modalités et fixe le montant des émoluments. D'après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LEmp, les émoluments prévus par la LTN et son ordonnance d’application sont mis à la charge des personnes physiques ou morales contrevenantes par voie de décision. En application de l'art. 44 al. 2 du règlement d'application de la LEmp du 7 décembre 2005 (RLEmp; BLV 822.11.1), les personnes contrôlées qui n'ont pas respecté leurs obligations en matière d’annonce et d’autorisation visées à l’art. 6 LTN s’acquittent d’un émolument d’un montant de 150 fr. par heure. b) On l'a vu, la recourante a occupé à son service un travailleur étranger sans autorisation de travail en Suisse, ce alors qu'il lui incombait, en sa qualité d'employeur de fait, d'effectuer les vérifications qui s'imposaient quant au statut légal de ce travailleur. Ce comportement étant constitutif d'une infraction au droit des étrangers et, partant, d'une atteinte au sens de l'art. 6 LTN, c'est à juste titre que l'autorité intimée a mis à la charge de la recourante les frais occasionnés par le contrôle du 11 septembre 2019.  La seconde décision rendue le 21 novembre 2019 intitulée "Décision de facturation des frais de contrôle" doit ainsi également être confirmée. Pour le surplus, la recourante ne remet en cause ni le décompte d'heures ni le tarif appliqué, la mise à sa charge des frais étant contestée uniquement dans son principe. La cour de céans n'examinera ainsi pas plus en détail ces éléments, étant précisé que le montant de 1'550 fr. retenu n'apparaît quoi qu'il en soit pas disproportionné vu la nature de l'affaire.</w:t>
      </w:r>
    </w:p>
    <w:p>
      <w:r>
        <w:rPr>
          <w:b/>
        </w:rPr>
        <w:t>E. 5</w:t>
      </w:r>
    </w:p>
    <w:p>
      <w:r>
        <w:t>Il résulte des considérants qui précèdent que le recours doit être rejeté et les deux décisions de l'autorité intimée du 21 novembre 2019 être confirmées. Succombant, la recourante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