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GE.2019.0217 vom 15. Juni 2020</w:t>
      </w:r>
    </w:p>
    <w:p>
      <w:r>
        <w:t>VD Tribunal cantonal, 2020-06-15, FR</w:t>
      </w:r>
    </w:p>
    <w:p>
      <w:r>
        <w:rPr>
          <w:b/>
        </w:rPr>
        <w:t xml:space="preserve">Quelle: </w:t>
      </w:r>
      <w:r>
        <w:t>https://mcp.opencaselaw.ch/entscheid/vd_omni_GE.2019.0217</w:t>
      </w:r>
    </w:p>
    <w:p>
      <w:r>
        <w:t>FR: VD_OMNI GE.2019.0217 du 15 juin 2020</w:t>
      </w:r>
    </w:p>
    <w:p>
      <w:r>
        <w:t>IT: VD_OMNI GE.2019.0217 del 15 giugno 2020</w:t>
      </w:r>
    </w:p>
    <w:p>
      <w:pPr>
        <w:pStyle w:val="Heading2"/>
      </w:pPr>
      <w:r>
        <w:t>Regeste</w:t>
      </w:r>
    </w:p>
    <w:p>
      <w:r>
        <w:t>Municipalité de Lausanne/Commission de recours individuel, B.________ | Recours de la Municipalité contre une décision de la Commission de recours individuel admettant le recours d'un fonctionnaire et modifiant la classification du poste qu'il occupe. En soutenant que ce poste devrait être colloqué à un niveau inférieur aux autres postes de dessinateurs du service, la Municipalité entend tenir compte de difficultés liées au handicap dont est affecté le fonctionnaire, soit de raisons inhérentes à sa personne, en violation de l'art. 35 RPAC. Ce sont exclusivement les exigences requises pour occuper le poste en cause, soit les compétences nécessaires à son exercice et les sollicitations et conditions de travail qu'il implique, qui doivent être prises en considération. Les activités que le fonctionnaire n'effectue pas en raison de son handicap s'avèrent en outre secondaires en comparaison des autres tâches et responsabilités qu'il exerce, de sorte que la décision de classer le poste qu'il occupe au même niveau que les autres postes de dessinateurs du service n'est pas arbitraire. Rejet du recours.</w:t>
      </w:r>
    </w:p>
    <w:p>
      <w:pPr>
        <w:pStyle w:val="Heading2"/>
      </w:pPr>
      <w:r>
        <w:t>Erwägungen</w:t>
      </w:r>
    </w:p>
    <w:p>
      <w:r>
        <w:rPr>
          <w:b/>
        </w:rPr>
        <w:t>E. 1</w:t>
      </w:r>
    </w:p>
    <w:p>
      <w:r>
        <w:t>Selon l'art. 5 al. 1 des dispositions du RPAC relatives à la Commission de recours individuel, la décision rendue par cette autorité peut faire l'objet d'un recours de droit administratif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La Commune de Lausanne, qui agit par sa Municipalité, a qualité pour recourir (cf. CDAP GE.2018.0175 du 1 er juillet 2019 consid. 1b). Il convient donc d’entrer en matière.</w:t>
      </w:r>
    </w:p>
    <w:p>
      <w:r>
        <w:rPr>
          <w:b/>
        </w:rPr>
        <w:t>E. 2</w:t>
      </w:r>
    </w:p>
    <w:p>
      <w:r>
        <w:t>a) La Municipalité de Lausanne conteste la modification de l’échelon salarial attribué à B.________ par décision de la Commission de recours individuel, à savoir l’attribution de l’échelon 6 de la chaîne 401 au lieu de l’échelon 5 de dite chaîne à partir du 1 er janvier 2017. b)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B.________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au surplus les modalités de mise en œuvre du nouveau système de rémunération de la Commune de Lausanne (art. 1 er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Selon l’art. 4 des dispositions de droit transitoire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guide de la grille des fonctions, p.4). La grille des fonctions est composée de deux axes: -   L'axe vertical "métiers" se découpe en</w:t>
      </w:r>
    </w:p>
    <w:p>
      <w:r>
        <w:rPr>
          <w:b/>
        </w:rPr>
        <w:t>E. 6</w:t>
      </w:r>
    </w:p>
    <w:p>
      <w:r>
        <w:t>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guide de la grille des fonctions, p. 5). Le guide de la grille des fonctions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guide de la grille des fonctions,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d)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(arrêts CDAP GE.2018.0061 du 17 janvier 2019 consid. 2c; v. aussi récemment GE.2019.0007 du 23 décembre 2019 consid. 3d; GE.2018.0196 du 20 décembre 2019 consid. 3c).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contrôler la correspondance effective entre la description du poste et les caractéristiques de la chaîne et du niveau telles qu'elles résultent de la grille des fonctions. 3. a) En l’espèce, la Municipalité de Lausanne invoque une constatation inexacte des faits en ce sens que l’autorité intimée aurait retenu à tort que la description de poste mise à jour au printemps 2015 devait servir de base au positionnement du poste de B.________, alors qu’il s’agirait d’une description de poste générique ayant été établie pour les postes de dessinateurs, mais qui ne refléterait pas le niveau d’exigence du poste occupé par le prénommé. Se référant aux courriels et au nouveau descriptif de poste produits à l’appui de son recours, la Municipalité expose que la majorité des tâches correspondant au but du poste " dessiner des projets, des plans d’exécution et de détails pour le compte d’un concepteur " sont effectuées par B.________ sous la supervision du responsable d’affaire. Elle ajoute que le but du poste consistant à " coordonner et diriger les travaux de petits chantiers en tant que responsable d’affaire " et les responsabilités principales y afférentes ont été supprimées de la nouvelle description de poste, de même que les responsabilités principales consistant à " être la personne de référence entre le service et l’extérieur concernant la charte graphique " et à " réaliser des montages dans Adobe Photoshop ", puisque l’intéressé n’effectuerait pas ces activités en raison du handicap dont il souffre. La notion d’autonomie aurait aussi été supprimée de la rubrique relative aux compétences et aptitudes requises, compte tenu du besoin de supervision accru de B.________ dans l’exécution d’une grande partie de ses tâches. Ces éléments auraient une influence non seulement sur le critère compétence à diriger, mais aussi sur la valorisation des critères secondaires autonomie, flexibilité, communication et coopération. De l’avis de la Municipalité, le niveau d’exigence du poste occupé par B.________ serait inférieur à celui des autres postes de dessinateurs du Service ********. Un positionnement différent du poste en cause, au niveau 5 de la chaîne 401 au lieu du niveau 6, serait ainsi justifié afin de garantir l’égalité de traitement et la cohérence interne du service. b) Le tribunal de céans constate en premier lieu que l’argumentation de la Municipalité de Lausanne selon laquelle la description de poste établie au printemps 2015 correspondrait à un descriptif de poste type ou générique, qui ne refléterait pas les tâches et responsabilités du poste occupé par B.________, est sujette à caution, si l’on considère en particulier que cette description de poste mentionne le nom du prénommé et le numéro du poste qu’il occupe (poste ********). Il en va d’ailleurs de même des deux autres descriptions de poste produites par le Service du personnel devant la Commission de recours individuel, à la demande de cette autorité, sur lesquelles sont également mentionnés les numéros des postes en cause (postes ******** et ********) ainsi que les noms, caviardés, de leur titulaire. Un descriptif de poste a en effet été établi pour chacun des trois postes de dessinateur auprès du Service ********. Les pourcentages correspondants à certains des buts du poste diffèrent par ailleurs selon que les postes de dessinateur sont occupés par leur titulaire à 100 %, pour l’un d’entre eux, ou à 80 %, s’agissant des deux autres. Cela étant, la Municipalité de Lausanne se méprend lorsqu’elle soutient que la description de poste mise à jour au printemps 2015 ne refléterait pas le niveau d’exigence du poste occupé par B.________, dès lors qu’il s’agirait d’une description type produite pour l’ensemble des dessinateurs et qui n’aurait " pas été adaptée à chaque titulaire " (sic). Elle perd de vue que lors de la transition salariale dans le nouveau système de rémunération, les fonctions ont été positionnées dans la grille des fonctions selon les compétences nécessaires à leur exercice et les sollicitations et conditions de travail qu’elles impliquent (cf. art. 35 al. 1 RPAC et consid. 2b et c supra). En d’autres termes, les exigences d’un poste, non les qualités dont dispose ou non son titulaire, respectivement les limitations potentielles dues à un handicap dont il serait affecté, doivent être prises en considération. Or, en l’occurrence, la Municipalité légitime la collocation du poste occupé par B.________ au niveau 5 de la chaîne 401 plutôt qu’au niveau 6 de cette chaîne au motif que la surdité dont souffre le prénommé l’empêcherait d’effectuer certaines des tâches que ses collègues réalisent. Elle en déduit que les exigences du poste occupé par l’intéressé seraient inférieures à celles des autres postes de dessinateurs. La municipalité ne prétend en revanche pas que si le poste du prénommé devait être occupé par une autre personne, celle-ci n’effectuerait pas toutes les tâches également dévolues aux autres dessinateurs du Service ********. Elle ne prétend pas non plus qu’il existerait deux catégories de dessinateurs au sein de ce service, dont les tâches et le niveau de responsabilités divergeraient. Le contraire résulte d’ailleurs des descriptions de poste mises à jour au printemps 2015. En réalité, en soutenant que le poste de B.________ devrait être colloqué à un niveau inférieur aux autres postes de dessinateurs, la municipalité entend tenir compte de difficultés liées au handicap dont est affecté le prénommé, soit de raisons inhérentes à sa personne, alors que ce sont exclusivement les exigences requises pour occuper le poste en cause qui doivent être prises en considération. Ce faisant, la Municipalité se réfère à des critères étrangers à la méthode d’évaluation des fonctions applicable au nouveau système de classification des fonctions adopté par la Ville de Lausanne, en violation de l’art. 35 al. 1 RPAC. Pour les mêmes motifs, on ne saurait considérer qu'en application du principe d'égalité de traitement, le recourant doive être traité différemment de ses collègues dessinateurs du Service ********. Bien au contraire, une différence de rémunération qui ne reposerait en définitive que sur le handicap du recourant pourrait s'avérer contraire à l'art. 8 al. 2 de la Constitution fédérale du 18 avril 1999 (Cst.; RS 101) qui interdit toute discrimination fondée sur une déficience corporelle, mentale ou psychique (cf. également art. 10 al. 2 de la Constitution du Canton de Vaud du 14 avril 2003; art. 27 par. 1 let. b de la Convention relative aux droits des personnes handicapées conclue à New York le 13 décembre 2006 [RS 0.109], qui est directement applicable selon Caroline Hess-Klein, Le cadre conventionnel et constitutionnel du droit de l'égalité des personnes handicapées, in Thierry Tanquerel/François Bellanger (édit.), L'égalité des personnes handicapées: principes et concrétisation, Genève 2017, p. 9 ss, spéc. p. 43). Ce grief doit donc être rejeté. c) On ajoutera que si l’on se réfère aux descriptions de poste que la Municipalité a produites devant la Commission de recours puis devant la Cour de céans, le but du poste consistant à " coordonner et diriger les travaux de petits chantiers en tant que responsable d’affaire " et les responsabilités y afférentes ne représentent que 10 % des activités qui incomberaient en principe à B.________. Ainsi, ces activités, si elles ne sont pas exercées à titre exceptionnel, s’avèrent néanmoins secondaires en comparaison des autres tâches et responsabilités exercées par le prénommé. Il en va de même des responsabilités principales consistant à " être la personne de référence entre le service et l’extérieur concernant la charte graphique " et à " réaliser des montages dans Adobe Photoshop ", qui correspondent à l’une des quatre, respectivement l’une des deux responsabilités principales mentionnées dans la description de poste en lien avec les buts " gérer les archives des plans numérisés " et " exprimer, visualiser des projets ", dont le pourcentage est évalué à 5 % des activités de B.________. Au vu de ces éléments, la décision de classer le poste occupé par B.________ au niveau 6 de la chaîne 401 Travaux professionnels - Généraliste, à l’instar des autres postes de dessinateurs du Service ********, n’apparaît pas arbitraire, étant précisé que la Commission de recours peut en principe substituer son appréciation à celle de la Municipalité en tant qu’employeur et autorité de classification. d) On ne saurait par ailleurs suivre la Municipalité, qui fait encore valoir que le manque d’autonomie et le besoin accru de supervision et de contrôle de B.________ auraient une influence sur la notation des critères secondaires compétence à diriger, autonomie, flexibilité, communication et coopération. Comme déjà mentionné, les fonctions sont colloquées dans la grille des fonctions sur la base des compétences nécessaires à leur exercice et des sollicitations et conditions de travail qu’elles impliquent (cf. art. 35 al. 1 RPAC), non selon les qualités des titulaires qui les occupent. Quoi qu’il en soit, si l’on se réfère aux descriptifs de fonctions correspondant aux niveaux 5 et 6 de la chaîne 401 Travaux professionnels - Généraliste, la valorisation des critères précités diffère au maximum de 0.5 point, et pour certains d’entre eux seulement. En présence d’une différence de cet ordre et compte tenu du pouvoir d’examen restreint qu’exerce la Cour de céans, l’autorité intimée n’a en tout cas pas excédé son large pouvoir d’appréciation. 4. Il découle des considérants qui précèdent que le recours, mal fondé, doit être rejeté et la décision de la Commission de recours individuel du 23 septembre 2019 doit être confirmée. Vu l’issue du litige, les frais de justice, arrêtés à 500 fr., sont mis à la charge de la Commune de Lausanne (art. 49 al. 1, 52 al. 1 a contrario, 91 et 99 LPA-VD). Il n’est par ailleurs pas alloué de dépens, l’autorité intimée n’ayant pas agi par l’intermédiaire d’un mandataire et le tiers intéressé n’ayant pas procédé du tout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