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GE.2019.0211 vom 17. Juni 2020</w:t>
      </w:r>
    </w:p>
    <w:p>
      <w:r>
        <w:t>VD Tribunal cantonal, 2020-06-17, FR</w:t>
      </w:r>
    </w:p>
    <w:p>
      <w:r>
        <w:rPr>
          <w:b/>
        </w:rPr>
        <w:t xml:space="preserve">Quelle: </w:t>
      </w:r>
      <w:r>
        <w:t>https://mcp.opencaselaw.ch/entscheid/vd_omni_GE.2019.0211</w:t>
      </w:r>
    </w:p>
    <w:p>
      <w:r>
        <w:t>FR: VD_OMNI GE.2019.0211 du 17 juin 2020</w:t>
      </w:r>
    </w:p>
    <w:p>
      <w:r>
        <w:t>IT: VD_OMNI GE.2019.0211 del 17 giugno 2020</w:t>
      </w:r>
    </w:p>
    <w:p>
      <w:pPr>
        <w:pStyle w:val="Heading2"/>
      </w:pPr>
      <w:r>
        <w:t>Regeste</w:t>
      </w:r>
    </w:p>
    <w:p>
      <w:r>
        <w:t>A.________/Service de l'emploi Contrôle du marché du travail, HOXHAJ, Service de la population (SPOP) | Recours d'une société contre les décisions du SDE prononçant le rejet de toute demande d'admission de travailleurs étrangers pendant 6 mois à son encontre pour avoir employé un étudiant étranger en omettant de contrôler qu'il disposait de l'autorisation nécessaire à exercer une activité lucrative, et mettant à sa charge les frais de contrôle. L'art. 38 OASA pose comme conditions à l'exercice d'une activité lucrative par un étudiant étranger notamment l'accord écrit de l'établissement de formation de l'étudiant et le dépôt d'une demande d'autorisation par l'employeur. L'ignorance de ces prescriptions invoquée par la recourante ne lui est d'aucun secours, la simple omission de l'employeur de se renseigner auprès des autorités compétentes constituant déjà une violation du devoir de diligence au sens de l'art. 91 al. 1 LEI, qui l'expose à la sanction prévue par l'art. 122 LEI. La sanction infligée en l'espèce apparaît en outre proportionnée au regard notamment du fait que la société recourante a déjà fait l'objet de sanctions (consid. 3). La mise à charge des frais de contrôle à la société recourante est justifiée et le montant facturé est proportionné (consid. 4). Recours rejeté et décisions attaquées confirmées.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S'agissant de l'objet du litige, la recourante conteste tant la première décision rendue à son encontre (intitulée "Infractions au droit des étrangers"), soutenant à cet égard ne pas avoir contrevenu aux dispositions du droit des étrangers, que la seconde décision dont elle a fait l'objet, relative à la "facturation des frais de contrôle". La recourante conclut implicitement à la réforme de ces décisions en ce sens qu'aucune sanction ne soit prononcée à son encontre et qu'aucun émolument administratif ni frais de contrôle ne soient mis à sa charge.</w:t>
      </w:r>
    </w:p>
    <w:p>
      <w:r>
        <w:rPr>
          <w:b/>
        </w:rPr>
        <w:t>E. 3</w:t>
      </w:r>
    </w:p>
    <w:p>
      <w:r>
        <w:t>La première décision dont est recours retient que la recourante a occupé à son service, le 12 août 2019, un travailleur étranger qui n'était pas en possession des autorisations nécessaires délivrées par les autorités compétentes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Tribunal fédéral [TF], arrêts 6B_511/2017 du 16 novembre 2017 consid. 2.1; 6B_243/2014 du 15 juillet 2014 consid. 5.3;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128 IV 170 consid. 4; CDAP PE.2018.0369 du 4 mars 2019 consid. 2a/cc et les références citées). c) L'art. 38 de l'ordonnance fédérale du 24 octobre 2007 relative à l'admission, au séjour et à l'exercice d'une activité lucrative (OASA; RS 142.201) énumère les conditions auxquelles les ressortissants étrangers qui suivent une formation ou une formation continue peuvent être autorisés à exercer une activité accessoire : "Les étrangers qui suivent en Suisse une formation ou une formation continue dans une haute école ou une haute école spécialisée peuvent être autorisés à exercer une activité accessoire au plus tôt six mois après le début de la formation si : a.  la direction de l'école certifie que cette activité est compatible avec la formation et n'en retarde pas la fin; b.  la durée de travail n'excède pas 15 heures par semaine en dehors des vacances; c.  il existe une demande d'un employeur (art. 18, let. b, LEI); d.  les conditions de rémunération et de travail sont remplies (art. 22 LEI)." Les Directives et commentaires "Domaine des étrangers" éditées par le Secrétariat d'Etat aux migrations précisent ainsi que, dans la mesure où l'établissement donne son accord écrit, une activité à temps complet peut être autorisée durant les vacances semestrielles (Directives LEI – version d'octobre 2013 actualisée au 1 er avril 2020 – ch. 4.4.3). d) En l'espèce, la recourante ne conteste pas que C.________, ressortissant étranger au bénéfice d'une autorisation de séjour pour études, ait travaillé dans son entreprise du 7 au 30 août 2019. Elle a d'ailleurs produit la fiche de salaire de l'intéressé pour le mois en cause. Elle fait cependant valoir que cette activité était exercée en toute conformité pendant les vacances semestrielles, et elle soutient à cet égard qu'elle n'était pas informée de ce que l'établissement de formation devait donner son accord par écrit afin que l'étudiant œuvre à temps complet. L'accord écrit de l'établissement de formation de l'étudiant étranger est une des conditions posées par l'art. 38 OASA à l'exercice d'une activité lucrative par un étudiant durant les vacances semestrielles. L'ignorance de cette prescription invoquée par la recourante, même de bonne foi, ne saurait lui être d'un quelconque secours, dans la mesure où la simple omission de se renseigner auprès des autorités compétentes constitue déjà une violation du devoir de diligence, qui expose l'employeur à la sanction prévue par l'art. 122 LEI, comme indiqué au consid. 3a ci-dessus. En outre, l'art. 38 let. c OASA prévoit expressément que l'employeur doit déposer auprès des autorités compétentes une demande d'admission de l'étudiant étranger en vue de l'exercice d'une activité lucrative (renvoi à l'art. 18 let. b LEI), ce que la recourante n'a pas requis en l'occurrence, manquant ainsi à une autre prescription légale et violant à nouveau son devoir de diligence. Il s'ensuit que l'autorité intimée était fondée à considérer que la recourante était l'employeur du travailleur illégal, que celle-ci avait manqué à son devoir de diligence (art. 91 al. 1 LEI) en omettant de contrôler que l'étudiant disposait de l'autorisation nécessaire à exercer une activité lucrative, et qu'une sanction devait par conséquent être prononcée pour ce motif en application de l'art. 122 LEI. e) L'art. 122 LEI reprend les principes qui découlaient de l'art. 55 de l'ordonnance du 6 octobre 1986 limitant le nombre des étrangers (OLE) désormais abrogée (cf. Message du Conseil fédéral, FF 2002 III 3469, spéc. p. 3588). On peut dès lors se référer à la jurisprudence rendue sous l'empire de l'ancien droit ( CDAP GE.2018.0171 du 5 février 2019 consid. 4a; GE.2008.0112 du 21 octobre 2008 consid. 5). Suivant cette dernière,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 CDAP GE.2018.0171 précité consid. 4a et les références citées; PE.2015.0317 du 15 janvier 2016 consid. 3b et les références citées). Dans un arrêt du 12 février 2015, le Tribunal fédéral a précisé que l'avertissement prévu à l'art. 122 al. 2 LEI peut être infligé à un employeur dès la première infraction commise (ATF 141 II 57 consid. 7). S'agissant du rejet des demandes futures, le Tribunal fédéral a également jugé que cette solution se justifiait lorsque l'employeur avait précédemment été sommé en vain de ne plus commettre d'infractions à la LEI (TF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(TF 2C_783/2012 consid. 3.2). En l'espèce, l'autorité intimée a décidé de rejeter toute demande d'admission de travailleurs étrangers formulée par la recourante pendant une durée de six mois. La recourante a déjà été sanctionnée le 19 octobre 2016 et le 6 mars 2018 pour infractions aux dispositions du droit des étrangers, de sorte que l'on se trouve en l'espèce dans un cas de récidive. Une simple sommation n'entrait dès lors pas en ligne de compte et c'est à juste titre que l'autorité intimée a prononcé un blocage des autorisations à l'encontre de la recourante. Au regard de l'infraction commise, qui est survenue après deux précédentes condamnations (lesquelles n'ont manifestement pas eu d'effet sur le comportement de la recourante) et qui porte sur l'emploi d'un étranger non autorisé, une sanction d'une durée de six mois n'apparaît pas excessive et est conforme au principe de proportionnalité (à titre de comparaison, cf. CDAP PE.2016.0097 du 12 septembre 2016; PE.2015.0317 du 15 janvier 2016; PE.2014.0258 du 3 décembre 2014). La décision querellée échappe dès lors à la critique sur ce point. f) Au vu de ce qui précède, la première décision attaquée, intitulée "Infractions au droit des étrangers", doit dès lors être confirmée intégralement.</w:t>
      </w:r>
    </w:p>
    <w:p>
      <w:r>
        <w:rPr>
          <w:b/>
        </w:rPr>
        <w:t>E. 4</w:t>
      </w:r>
    </w:p>
    <w:p>
      <w:r>
        <w:t>La deuxième décision litigieuse condamne la recourante au paiement des frais du contrôle effectué le 12 août 2019, par 1'350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première phrase, LTN). Les personnes chargées des contrôles consignent leurs constatations dans un procès-verbal (art. 9 al. 1, première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ne s'étend guère sur la question de la facturation des frais de contrôle, la recourante se limitant à solliciter que l'autorité fasse preuve de clémence et lui accorde l'annulation des frais concernés. Or, il ressort de ce qui précède que la recourante a occupé à son service un ressortissant étranger sans autorisation de travail, alors qu'il lui appartenait, en sa qualité d'employeur de fait, de vérifier le statut légal de ce travailleur (cf. consid. 4d ci-dessus). Ce comportement étant constitutif d'une infraction au droit des étrangers et, partant, d'une atteinte au sens de l'art.</w:t>
      </w:r>
    </w:p>
    <w:p>
      <w:r>
        <w:rPr>
          <w:b/>
        </w:rPr>
        <w:t>E. 6</w:t>
      </w:r>
    </w:p>
    <w:p>
      <w:r>
        <w:t>LTN, c'est à juste titre que l'autorité intimée a, sur le principe, mis à la charge de A.________ Sàrl les frais occasionnés par le contrôle du 12 août 2019; on ne voit au demeurant ressortir du dossier aucun motif justifiant d'exonérer la recourante du paiement de ces frais, d'autant plus que celle-ci a déjà fait l'objet de précédentes sanctions pour avoir enfreint les dispositions du droit des étrangers (cf. consid. 4e ci-dessus). Pour le surplus, la recourante ne conteste ni le décompte d'heures effectué, qui paraît admissible au regard de la nature de l'affaire, ni le tarif appliqué, qui ne prête pas le flanc à la critique. Il s'ensuit que la seconde décision attaquée, intitulée "Décision de facturation des frais de contrôle", s'avère également bien fondée. 5. Les considérants qui précèdent conduisent au rejet des recours et à la confirmation des deux décisions attaquées. La recourante, qui succombe, supportera les frais de justice (cf. art. 49 al. 1 et 91 LPA-VD; art. 4 al. 1 du tarif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