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GE.2019.0203 vom 21. November 2019</w:t>
      </w:r>
    </w:p>
    <w:p>
      <w:r>
        <w:t>VD Tribunal cantonal, 2019-11-21, FR</w:t>
      </w:r>
    </w:p>
    <w:p>
      <w:r>
        <w:rPr>
          <w:b/>
        </w:rPr>
        <w:t xml:space="preserve">Quelle: </w:t>
      </w:r>
      <w:r>
        <w:t>https://mcp.opencaselaw.ch/entscheid/vd_omni_GE.2019.0203</w:t>
      </w:r>
    </w:p>
    <w:p>
      <w:r>
        <w:t>FR: VD_OMNI GE.2019.0203 du 21 novembre 2019</w:t>
      </w:r>
    </w:p>
    <w:p>
      <w:r>
        <w:t>IT: VD_OMNI GE.2019.0203 del 21 novembre 2019</w:t>
      </w:r>
    </w:p>
    <w:p>
      <w:pPr>
        <w:pStyle w:val="Heading2"/>
      </w:pPr>
      <w:r>
        <w:t>Regeste</w:t>
      </w:r>
    </w:p>
    <w:p>
      <w:r>
        <w:t>Municipalité d'Aigle/ Service de la population, B.________ | Admission de la demande de révision de l'autorité intimée et modification du dispositif de l'arrêt en ce sens que le rejet du recours ne vise que le conjoint, le dossier de son épouse ayant été séparé et le recours la concernant étant dès lors sans objet.</w:t>
      </w:r>
    </w:p>
    <w:p>
      <w:pPr>
        <w:pStyle w:val="Heading2"/>
      </w:pPr>
      <w:r>
        <w:t>Erwägungen</w:t>
      </w:r>
    </w:p>
    <w:p>
      <w:r>
        <w:rPr>
          <w:b/>
        </w:rPr>
        <w:t>E. 1</w:t>
      </w:r>
    </w:p>
    <w:p>
      <w:r>
        <w:t>Selon l'art. 102 de la loi sur la procédure administrative du 28 octobre 2008 (LPA-VD; BLV 173.36), l'autorité qui a rendu la décision ou le jugement concernés statue sur la demande de révision. En l'espèce, l'arrêt dont la révision est demandée a été rendu par la IIIe Section de la Cour de droit administratif et public qui est ainsi compétente pour statuer sur la demande de révision, qui a été déposée dans le délai légal de 90 jours dès la découverte du motif de révision, si bien qu'il y a lieu d'entrer en matière.</w:t>
      </w:r>
    </w:p>
    <w:p>
      <w:r>
        <w:rPr>
          <w:b/>
        </w:rPr>
        <w:t>E. 2</w:t>
      </w:r>
    </w:p>
    <w:p>
      <w:r>
        <w:t>a) Selon l'art. 100 al. 1 LPA-VD, une décision sur recours ou un jugement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(art. 100 al. 2 LPA-VD). b) En l'espèce, la municipalité était partie de l'idée que la procédure ouverte sous la référence GE.2019.0023 suite au recours déposé par B.________ ne concernait que ce dernier. On relèvera d'ailleurs que tant les correspondances échangées par le tribunal avec les parties que l'arrêt de la CDAP ne mentionnent que ce dernier comme partie et non C.________. Compte tenu de ce qui précède, il convient de considérer que la municipalité n'avait pas de raison d'indiquer au tribunal qu'elle avait rendu le 19 février 2019 une décision d'octroi de la bourgeoisie communale en faveur de C.________. Or, l'octroi de la bourgeoisie communale à C.________ a pour conséquence que le tribunal aurait dû considérer, contrairement à ce qu'il ressort des considérants de l'arrêt du 26 juillet 2019, que la décision du 29 janvier 2019 ne devait être confirmée qu'en ce qui concerne B.________, l'octroi de la bourgeoisie communale à C.________ rendant sans objet le recours en ce qui la concernait.</w:t>
      </w:r>
    </w:p>
    <w:p>
      <w:r>
        <w:rPr>
          <w:b/>
        </w:rPr>
        <w:t>E. 3</w:t>
      </w:r>
    </w:p>
    <w:p>
      <w:r>
        <w:t>Il convient donc d'admettre la demande de révision et de modifier le dispositif de l'arrêt du 26 juillet 2019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