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GE.2019.0201 vom 8. Oktober 2019</w:t>
      </w:r>
    </w:p>
    <w:p>
      <w:r>
        <w:t>VD Tribunal cantonal, 2019-10-08, FR</w:t>
      </w:r>
    </w:p>
    <w:p>
      <w:r>
        <w:rPr>
          <w:b/>
        </w:rPr>
        <w:t xml:space="preserve">Quelle: </w:t>
      </w:r>
      <w:r>
        <w:t>https://mcp.opencaselaw.ch/entscheid/vd_omni_GE.2019.0201</w:t>
      </w:r>
    </w:p>
    <w:p>
      <w:r>
        <w:t>FR: VD_OMNI GE.2019.0201 du 8 octobre 2019</w:t>
      </w:r>
    </w:p>
    <w:p>
      <w:r>
        <w:t>IT: VD_OMNI GE.2019.0201 del 8 ottobre 2019</w:t>
      </w:r>
    </w:p>
    <w:p>
      <w:pPr>
        <w:pStyle w:val="Heading2"/>
      </w:pPr>
      <w:r>
        <w:t>Regeste</w:t>
      </w:r>
    </w:p>
    <w:p>
      <w:r>
        <w:t>A.________ /Autorité de surveillance LPP et des fondations de Suisse occidentale | Un délai ne peut être restitué qu'en l'absence de faute. Rappels des motifs admissibles. Rejet de la demande de restitution.</w:t>
      </w:r>
    </w:p>
    <w:p>
      <w:pPr>
        <w:pStyle w:val="Heading2"/>
      </w:pPr>
      <w:r>
        <w:t>Erwägungen</w:t>
      </w:r>
    </w:p>
    <w:p>
      <w:r>
        <w:rPr>
          <w:b/>
        </w:rPr>
        <w:t>E. 1</w:t>
      </w:r>
    </w:p>
    <w:p>
      <w:r>
        <w:t>Le magistrat instructeur est compétent pour rendre les décisions d'instruction (art. 94 al. 2 LPA-VD) et le juge unique pour statuer sur les recours manifestement irrecevables (art. 94 al. 1 let. d de la loi sur la procédure administrative du 28 octobre 2008, LPA-VD; BLV 173.36).</w:t>
      </w:r>
    </w:p>
    <w:p>
      <w:r>
        <w:rPr>
          <w:b/>
        </w:rPr>
        <w:t>E. 2</w:t>
      </w:r>
    </w:p>
    <w:p>
      <w:r>
        <w:t>Il n'est pas contesté que la décision attaquée du 18 juillet 2019 a été notifiée durant les féries judiciaires qui s'étendent du 15 juillet au 15 août inclusivement (art. 96 LPA-VD). Le délai de recours de 30 jours a ainsi commencé de courir le 16 août 2019. Le recours déposé le 23 septembre 2019 est tardif.</w:t>
      </w:r>
    </w:p>
    <w:p>
      <w:r>
        <w:rPr>
          <w:b/>
        </w:rPr>
        <w:t>E. 3</w:t>
      </w:r>
    </w:p>
    <w:p>
      <w:r>
        <w:t>Seule se pose encore la question de la restitution du délai de recours. 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Selon la jurisprudence du Tribunal fédéral,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 (voir p. ex. TF 1C_520/2015 du 13 janvier 2016; 2C_734/2012 du 25 mars 2013; cf. arrêts CDAP EF.2015.0002 du 23 juin 2015 consid. 4, PE.2014.0404 du 25 novembre 2014 consid. 2). De manière générale, est non fautive toute circonstance qui aurait empêché un plaideur consciencieux d'agir dans le délai fixé (cf. CDAP AC.2013.0452 du 31 décembre 2013 consid. 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arrêt TF 9C_209/2012 du 26 juin 2012 consid. 3.1). La restitution de délai suppose que la partie ou son mandataire aient été empêchés d'agir sans faute dans le délai fixé. Elle n'entre pas en ligne de compte lorsque la partie ou son mandataire ont renoncé à agir que ce soit à la suite d'un choix délibéré, d'une erreur ou du conseil - peut-être erroné - d'un tiers (arrêts 6B_311/2015 du 30 juin 2015 consid. 2.1; 6B_968/2014 du 24 décembre 2014 consid. 1.3; 1B_250/2012 du 31 juillet 2012 consid. 2.3). En particulier, la négligence ou l'inattention d'un recourant concernant le dépôt d'une opposition (arrêt 6B_538/2014 du 8 janvier 2015 consid. 2.3 et 2.4), ainsi qu'une simple erreur dans la computation des délais (arrêt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6B_538/2014 du 8 janvier 2015 consid. 2.5; 6B_1170/2013 du 8 septembre 2014 consid. 4). b) Interpellé, l'auteur du recours expose qu'à réception de la décision du 18 juillet 2019, il a demandé des instructions au Conseil d'État sur l'opportunité de recourir et que le département compétent lui a répondu, par lettre du 30 août 2016, qu'il n'était pas de son ressort de mettre en cause l'appréciation de l'autorité de surveillance. Il n'y a pas là de motifs de restitution du délai de recours. En particulier, le département n'a en rien dissuadé le recourant d'interjeter recours. Rien n'indique par ailleurs que l'intervention de l'auteur du recours auprès du Conseil d'État ait dû être traitée comme un recours qui aurait dû être transmis au tribunal en application de l'art. 7 LPA-VD. b) L'auteur du recours fait encore valoir qu'il a constaté le 16 août 2019 que contrairement à la décision attaquée, le Registre du commerce n'a retranscrit aucune modification concernant la liquidation de la fondation et la radiation de la signature des membres du conseil. Il déclare qu'il a alors pensé que le commissaire avait transmis ses doléances à l'autorité de surveillance et que l'affaire était close. C'est en discutant avec un ami avocat qu'il aurait compris l'importance de déposer néanmoins un recours. Il n'y a pas là non plus de motifs de restitution du délai de recours. On se trouve en présence d'une renonciation au recours fondée sur une appréciation erronée d'ailleurs difficilement compréhensible: on ne voit pas comment on peut sérieusement tirer d'un retard dans l'inscription au Registre du commerce la conclusion que l'autorité intimée aurait révoqué sa décision. Force est ainsi de constater que l'auteur du recours n'a pas été empêché d'agir sans faute de sa part.</w:t>
      </w:r>
    </w:p>
    <w:p>
      <w:r>
        <w:rPr>
          <w:b/>
        </w:rPr>
        <w:t>E. 4</w:t>
      </w:r>
    </w:p>
    <w:p>
      <w:r>
        <w:t>Il y a donc lieu de rejeter la demande implicite de restitution du délai de recours et de prononcer l'irrecevabilité de ce dernier. L'arrêt peut être rendu sans frais. Ce qui précède dispense le tribunal d'examiner si le président du conseil peut déposer un recours au nom de la fondation sous sa seule signature, ou s'il faut considérer qu'il peut recourir seulement contre la radiation de sa signature.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