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GE.2019.0176 vom 4. Mai 2020</w:t>
      </w:r>
    </w:p>
    <w:p>
      <w:r>
        <w:t>VD Tribunal cantonal, 2020-05-04, FR</w:t>
      </w:r>
    </w:p>
    <w:p>
      <w:r>
        <w:rPr>
          <w:b/>
        </w:rPr>
        <w:t xml:space="preserve">Quelle: </w:t>
      </w:r>
      <w:r>
        <w:t>https://mcp.opencaselaw.ch/entscheid/vd_omni_GE.2019.0176</w:t>
      </w:r>
    </w:p>
    <w:p>
      <w:r>
        <w:t>FR: VD_OMNI GE.2019.0176 du 4 mai 2020</w:t>
      </w:r>
    </w:p>
    <w:p>
      <w:r>
        <w:t>IT: VD_OMNI GE.2019.0176 del 4 maggio 2020</w:t>
      </w:r>
    </w:p>
    <w:p>
      <w:pPr>
        <w:pStyle w:val="Heading2"/>
      </w:pPr>
      <w:r>
        <w:t>Regeste</w:t>
      </w:r>
    </w:p>
    <w:p>
      <w:r>
        <w:t>A.________ /Service de l'emploi Contrôle du marché du travail, Service de la population (SPOP) | Recours d'une société contre deux décisions du SDE, la première prononçant une sanction à son encontre pour avoir employé deux ressortissants étrangers dépourvus d'autorisation de travail et de titre de séjour, la seconde mettant les frais de contrôle à sa charge. La recourante fait valoir que les intéressés ne faisaient pas partie de son personnel mais qu'ils travaillaient pour une société tierce intervenant en qualité de sous-traitante. Il importe peu de déterminer la qualification des relations contractuelles entre la recourante et la société tierce. L’élément décisif est le fait que la recourante bénéficiait dans les faits des services des deux travailleurs le jour du contrôle. Par conséquent, au regard des circonstances, l'autorité intimée était fondée à considérer que la recourante était l'employeur de fait des travailleurs illégaux et qu'elle avait manqué à son devoir de diligence prévu par l'art. 91 LEI en omettant de contrôler que ceux-ci disposaient des autorisations nécessaires à exercer une activité lucrative. La sanction prononcée par l’autorité intimée (rejet de toute demande d’admission de travailleur étranger pendant une durée de 12 mois) est en outre conforme au principe de la proportionnalité, dès lors que l’on se trouve dans un cas de récidive de la part de la recourante (consid. 5). Par ailleurs, le comportement de la recourante étant constitutif d’une infraction au droit des étrangers, c’est à juste titre qu’elle s’est vue imputer les frais occasionnés par le contrôle, conformément à la loi (consid. 6). Recours rejeté et décisions attaquées confirmées.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130 II 425 consid. 2.1 et les arrêts cités; 122 V 157 consid. 1d; 119 Ib 492 consid. 5b/bb). b) En l'occurrence, sur la base d'une appréciation anticipée des preuves, le tribunal considère qu'il n'y a pas lieu de donner suite aux réquisitions de la recourante, les faits résultant des pièces produites au dossier permettant de trancher la cause en l'état. En particulier, les trois premières personnes citées ont été entendues le jour même des faits par les inspecteurs du marché du travail qui ont contrôlé le chantier, et également par les services de police pour E.________ et F.________, et toutes leurs déclarations figurent dans les rapports présents au dossier. Quant à la dernière personne proposée comme témoin, K.________, son audition n'est pas nécessaire, pour les motifs qui seront exposés dans la suite de cet arrêt. Il sied en outre de relever que la recourante a déposé deux écritures et des pièces dans le cadre de l'instruction du présent recours; cela étant, elle a eu l'occasion de s'exprimer sur l'ensemble des faits de la cause ainsi que de développer ses motifs de recours et moyens juridiques.</w:t>
      </w:r>
    </w:p>
    <w:p>
      <w:r>
        <w:rPr>
          <w:b/>
        </w:rPr>
        <w:t>E. 3</w:t>
      </w:r>
    </w:p>
    <w:p>
      <w:r>
        <w:t>S'agissant de l'objet du litige, la recourante conteste expressément tant la première décision, intitulée "Infractions au droit des étrangers", rendue à son encontre, soutenant à cet égard ne pas avoir contrevenu aux dispositions du droit des étrangers, que la seconde décision dont elle a fait l'objet, relative à la "facturation des frais de contrôle".</w:t>
      </w:r>
    </w:p>
    <w:p>
      <w:r>
        <w:rPr>
          <w:b/>
        </w:rPr>
        <w:t>E. 4</w:t>
      </w:r>
    </w:p>
    <w:p>
      <w:r>
        <w:t>Dans un premier grief général, de nature formelle, la recourante invoque une violation de son droit d'être entendue par l'autorité intimée. a) Le droit d'être entendu est une garantie constitutionnelle de nature formelle ancrée aux art. 29 al. 2 Cst. et 27 al. 2 de la Constitution du 14 avril 2003 du canton de Vaud (Cst.-VD; BLV 101.01; cf. aussi art. 33 al. 1 LPA-VD). Cela inclut pour les parties le droit de s'expliquer avant qu'une décision ne soit prise à leur détriment, celui de fournir des preuves quant aux faits de nature à influer sur le sort de la décision, celui d'avoir accès au dossier, celui de participer à l'administration des preuves, d'en prendre connaissance et de se déterminer à leur propos, lorsque cela est de nature à influer sur la décision à rendre (ATF 142 II 218 consid. 2.3; 137 II 266 consid. 3.2; 137 IV 33 consid. 9.2; 136 I 265 consid. 3.2 et les arrêts cités).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133 I 201 consid. 2.2; CDAP, arrêts PE.2017.0388 du 28 décembre 2018 consid. 2b; AC.2016.0372 du 14 septembre 2018 consid. 3a; GE.2016.0061 du 21 décembre 2016 consid. 3a; GE.2011.0136 du 27 novembre 2012 consid. 2b). La réparation de la violation du droit d'être entendu doit cependant rester l'exception et n'est admissible que dans l'hypothèse d'une atteinte qui n'est pas particulièrement grave aux droits procéduraux de la partie lésée. Si par contre l'atteinte est importante, il n'est en principe pas possible de remédier à la violation (ATF 126 I 68 consid. 2; 126 V 130 consid. 2b; 124 V 180 consid. 4b et les arrêts cités). Elle peut néanmoins se justifier en présence d'un vice grave lorsque le renvoi constituerait une vaine formalité et aboutirait à un allongement inutile de la procédure (ATF 133 I 201 consid. 2.2;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CDAP AC.2016.0258 du 11 août 2017 consid. 4a; AC.2016.0241 du 10 mars 2017 consid. 3a; PE.2014.0267 du 17 septembre 2015 consid. 2b; GE.2011.0136 précité consid. 2b; GE.2012.0124 du 15 novembre 2012 consid. 2b). b) En l'espèce, la recourante reproche en substance à l'autorité intimée de n'avoir pas instruit la question de la nature des relations entre E.________ et F.________, la société J.________ Sàrl, qu'elle présente comme sa sous-traitante, et elle-même. En l'occurrence, le grief de la recourante tiré de la constatation inexacte ou incomplète des faits pertinents par l'autorité intimée se confond essentiellement avec l'examen au fond des conditions d'application de la loi. Il sera donc revenu dans la mesure utile sur les relations entre les diverses personnes impliquées dans les considérants suivants du présent arrêt. A cet égard, on relèvera au demeurant que le dossier constitué par l'autorité intimée comprend notamment les déclarations faites par E.________ et F.________ aux inspecteurs du marché du travail et aux agents de police, et que l'autorité intimée a également établi un dossier relatif à J.________ Sàrl, qu'elle a produit dans le cadre de la présente procédure de recours. La recourante a également été invitée par l'autorité intimée à se déterminer sur les faits qui lui étaient reprochés, ce qu'elle a fait par lettre du 25 février 2019. Cela étant, on ne voit pas que le droit d'être entendue de la recourante aurait été violé. Partant, le moyen soulevé par la recourante doit être rejeté.</w:t>
      </w:r>
    </w:p>
    <w:p>
      <w:r>
        <w:rPr>
          <w:b/>
        </w:rPr>
        <w:t>E. 5</w:t>
      </w:r>
    </w:p>
    <w:p>
      <w:r>
        <w:t>La première décision dont est recours retient que la recourante a occupé à son service, le 30 août 2018, deux travailleurs étrangers qui n'étaient pas en possession des autorisations nécessaires délivrées par les autorités compétentes au moment de la prise d'emploi. a)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La notion d'employeur au sens du droit des étrangers est une notion autonome qui vise l'employeur de fait et ne se limite pas à celle du droit des obligations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Tribunal fédéral [TF], arrêts 6B_511/2017 du 16 novembre 2017 consid. 2.1; 6B_243/2014 du 15 juillet 2014 consid. 5.3;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128 IV 170 consid. 4; CDAP PE.2018.0369 du 4 mars 2019 consid. 2a/cc et les références citées). c)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(cf. Message du Conseil fédéral du 16 janvier 2002, in FF 2002 III 3371 p. 3406). Ainsi, l'obligation de diligence qu'impose l'art. 91 LEI au bailleur de services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CDAP PE.2018.0269 du 21 mars 2019 consid. 3a; GE.2018.0171 et PE.2018.0330 du 5 février 2019 consid. 2a et les références citées). d)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 sauf preuve contraire. L'existence d'une présomption de fait relève, par principe, de l'appréciation des preuves; une telle présomption constitue en effet une forme de preuve par indices (ATF 130 III 699 consid. 4.1). Il incombe alors à l'administré de renverser cette présomption, en raison non seulement de son devoir de collaborer à l'établissement des faits (cf. art. 30 LPA-VD) mais encore de son propre intérêt (CDAP GE.2018.0171 du 5 février 2019 consid. 2b; PE.2013.0359 du 17 octobre 2014 consid. 2c; PE.2013.0033 du 30 juin 2014 consid. 2c). e) En l'espèce, la recourante fait valoir que les deux personnes contrôlées ne faisaient pas partie de son personnel mais qu'elles travaillaient pour une société tierce, J.________ Sàrl, laquelle, intervenant en qualité de sous-traitante, lui aurait mis à disposition les services des deux intéressées. Elle allègue également qu'elle n'a pas pu procéder aux contrôles usuels relatifs aux deux travailleurs concernés en raison du comportement de la sous-traitante, qui ne lui aurait pas communiqué les identités des deux intéressés et qui aurait envoyé ces derniers sur le chantier sans l'en informer. Si elle n'a pas produit de contrat de sous-traitance passé avec J.________ Sàrl, la recourante a en revanche produit une lettre du 14 septembre 2018 par laquelle cette société lui présentait ses excuses pour " l'incident " du 30 août 2018 et indiquait avoir " omis de vérifier la véracité des propos de ces deux personnes qui nous ont affirmer [sic] avoir fait une demande de permis qui n'est pas le cas [sic]". En réalité, il importe peu de déterminer précisément la qualification des relations contractuelles entre la recourante et J.________ Sàrl, qu'il s'agisse de sous-traitance, soit un contrat d'entreprise par lequel elle aurait chargé cette société d'effectuer tout ou partie des travaux qu'elle s'était elle-même engagée à réaliser pour le maître principal, ou de location de personnel à titre occasionnel, soit un contrat par lequel un entrepreneur met à disposition un ouvrier pour une certaine durée (procédé relativement courant dans le domaine de la construction; cf. notamment CDAP GE.2016.0133 et PE.2016.0339 du 17 janvier 2017 consid. 3b et les références citées). L'audition du comptable de la recourante afin qu'il expose les modalités exactes des relations entre celle-ci et la société J.________ Sàrl n'est dès lors pas pertinente, et il convient de rejeter cette réquisition de la recourante. En définitive, l'élément déterminant est le fait que la recourante bénéficiait dans les faits des services des deux travailleurs en question, le jour du contrôle. En effet, la recourante ne conteste pas qu'un de ses propres employés, I.________, se trouvait sur le chantier le jour du contrôle et qu'il était occupé à effectuer des travaux d'isolation et de crépissage de façades en compagnie des deux travailleurs en situation irrégulière. Il ressort du rapport des inspecteurs du marché du travail que ces derniers ont spontanément déclaré être venus sur place avec le véhicule conduit par le prénommé, et ils ont précisé travailler depuis 2 jours sur le chantier comme façadiers. La recourante fait valoir que le véhicule conduit par son employé ne permettait pas de prendre en charge les deux travailleurs concernés, mais les photographies de la fourgonnette en question figurant dans le rapport des inspecteurs du marché du travail ne permettent pas de corroborer cette affirmation, et la recourante n'explique du reste pas davantage les raisons qui auraient fondé un tel empêchement. Il n'est pas non plus déterminant qu'un des deux travailleurs ait par la suite déclaré aux agents de police qui l'auditionnaient qu'il aurait été amené sur place par un " copain " dénommé "********". D'une part, comme la cour de céans l'a relevé à plusieurs reprises, l'expérience démontre que les premières déclarations des parties sont plus proches de la vérité que celles faites ultérieurement, dans le cadre d'une procédure contentieuse dont l'issue pourrait mettre en péril des intérêts cas échéant importants (cf. p. ex. : CDAP PE.2016.0125 du 6 juillet 2016 consid. 2b; PE.2012.0347 et GE.2012.0175 du 10 juin 2013 consid. 2b; PE.2007.0406 du 18 décembre 2007 consid. 4b; PE.2006.0012 du 29 juin 2006 consid. 6; GE.2010.0188 du 22 février 2011 consid. 5c). D'autre part, il importe peu en définitive de savoir par quel moyen les deux travailleurs en cause ont rejoint le chantier : l'essentiel est que ceux-ci s'y trouvaient et étaient occupés à effectuer des travaux d'isolation et de crépissage de façades en compagnie de l'employé de la recourante au moment du contrôle. Il est donc manifeste que la recourante a bénéficié dans les faits des services des deux intéressés, lesquels ont été mis à sa disposition, soit loués ou prêtés, pour œuvrer pour son compte sur le chantier le jour du contrôle. Partant, la recourante pouvait être qualifiée d'employeur de fait au sens de la jurisprudence rappelée au considérant 5b ci-dessus. Elle était en conséquence tenue, suivant le devoir de diligence qui lui incombait en application de l'art. 91 LEI, de vérifier au préalable si les travailleurs concernés étaient ou non autorisés à exercer une activité lucrative en Suisse, ce d'autant qu'elle avait déjà fait l'objet de plusieurs sanctions pour violation des dispositions du droit des étrangers. On notera d'ailleurs qu'un des deux travailleurs en cause avait déjà fait l'objet d'un précédent contrôle sur un autre chantier en rapport avec la recourante en février 2018. La recourante croit enfin pouvoir se prévaloir du comportement de la société J.________ Sàrl, qui lui a écrit avoir omis de vérifier les autorisations des deux travailleurs. A tort toutefois, car selon la jurisprudence, l'entreprise locataire de service ne saurait s'exonérer de son devoir de diligence en mettant la faute sur le bailleur de service; il appartient en effet à chaque employeur de procéder au contrôle (cf. consid. 5a et c ci-dessus; cf. aussi CDAP GE.2018.0171 du 5 février 2019 consid. 2c; GE.2018.0086 du 12 décembre 2018 consid. 1d; GE.2016.0083 du 20 octobre 2016 consid. 2c et les références; GE.2014.0058 du 10 juin 2015 consid. 3b et les références). Il s'ensuit que l'autorité intimée était fondée à considérer que la recourante était l'employeur de fait des travailleurs illégaux, qu'elle avait manqué à son devoir de diligence en omettant de contrôler que ceux-ci disposaient des autorisations nécessaires à exercer une activité lucrative, et qu'elle devait par conséquent être sanctionnée pour ce motif en application de l'art. 122 LEI. f) Invoquant la liberté économique, la recourante soutient que l'autorité intimée a violé le principe de proportionnalité en la sanctionnant par un rejet de toutes ses demandes d'admission de travailleurs étrangers pour une durée de 12 mois. aa) Le principe de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177 consid. 4.1; TF 2C_357/2008 du 16 novembre 2009 consid. 6.1 en lien avec l'art. 122 LEI). L'art. 122 LEI reprend les principes découlant de l'art. 55 de l'ordonnance du 6 octobre 1986 limitant le nombre des étrangers (OLE), désormais abrogée (v. Message du Conseil fédéral, FF 2002 III 3469, spéc. p. 3588). On peut dès lors se référer à la jurisprudence rendue sous l'ancien droit ( CDAP GE.2018.0171 du 5 février 2019 consid. 4a; GE.2008.0112 du 21 octobre 2008 consid. 5). Suivant cette dernière,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 CDAP GE.2018.0171 précité consid. 4a et les références citées; PE.2015.0317 du 15 janvier 2016 consid. 3b et les références citées). Dans un arrêt du 12 février 2015, le Tribunal fédéral a précisé que l'avertissement prévu à l'art. 122 al. 2 LEI peut être infligé à un employeur dès la première infraction commise (ATF 141 II 57 consid. 7). S'agissant du rejet des demandes futures, le Tribunal fédéral a également jugé qu'il se justifiait lorsque l'employeur avait précédemment été sommé en vain de ne plus commettre d'infractions à la LEI (TF 2C_1039/2013 du 16 avril 2014 consid. 6.2; 2C_783/2012 du 10 octobre 2012 consid. 3.2). Ce blocage, comme cela ressort de la loi, ne vaut que dans la mesure où les travailleurs pour lesquels une autorisation est demandée n'y ont pas droit (art. 122 al. 1 in fine LEI), quand bien même cette réserve n'est pas exprimée expressément (TF 2C_783/2012 consid. 3.2). bb) En l'espèce, l'autorité intimée a décidé de rejeter toute demande d'admission de travailleurs étrangers formulée par la recourante pendant une durée de 12 mois. La recourante a déjà été sanctionnée le 24 avril 2013, le 16 septembre 2014 et le 15 juin 2018 pour infractions aux dispositions du droit des étrangers, de sorte que l'on se trouve en l'espèce dans un cas de récidive. Une simple sommation n'entre dès lors pas en ligne de compte, et c'est à juste titre que l'autorité intimée a prononcé un blocage des autorisations à l'encontre de la recourante. Au regard de l'infraction commise, qui est survenue à peine deux mois et demi après la dernière condamnation (laquelle n'a manifestement pas eu d'effet sur le comportement de la recourante, de même que les deux autres condamnations précédentes) et qui porte sur l'emploi de deux étrangers non autorisés, une sanction d'une durée de 12 mois n'apparaît pas excessive. A titre de comparaison, il y a lieu de citer l'arrêt PE.2012.0037 du 20 juillet 2012 – confirmé par le Tribunal fédéral dans son arrêt 2C_783/2012 du 10 octobre 2012 –, par lequel la cour de céans a confirmé une sanction d'une durée de 12 mois infligée à une entreprise qui, comme la recourante, avait déjà fait l'objet de trois précédentes sanctions pour avoir enfreint les dispositions du droit des étrangers. La décision querellée échappe dès lors à la critique sur ce point. g) Au vu de ce qui précède, la première décision attaquée, intitulée "Infractions au droit des étrangers", doit dès lors être confirmée intégralement.</w:t>
      </w:r>
    </w:p>
    <w:p>
      <w:r>
        <w:rPr>
          <w:b/>
        </w:rPr>
        <w:t>E. 6</w:t>
      </w:r>
    </w:p>
    <w:p>
      <w:r>
        <w:t>La deuxième décision litigieuse condamne la recourante au paiement des frais du contrôle effectué le 30 août 2018, par 1'275 francs. a) La loi fédérale du 17 juin 2005 concernant des mesures en matière de lutte contre le travail au noir (LTN; RS 822.41) institue en particulier des mécanismes de contrôle et de répression (cf. art. 1 LTN). L'organe de contrôle cantonal compétent, soit le Service de l'emploi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première phrase, LTN). Les personnes chargées des contrôles consignent leurs constatations dans un procès-verbal (art. 9 al. 1, première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le recours ne s'étend guère sur la question de la facturation des frais de contrôle; la recourante se limite à soutenir que ces frais lui ont injustement été imputés par l'autorité intimée dès lors qu'aucune violation du droit des étrangers ne pouvait lui être reprochée. Or, il a été établi précédemment que la recourante a occupé à son service deux ressortissants étrangers sans autorisation, alors qu'il lui appartenait, en sa qualité d'employeur de fait, de vérifier le statut légal de ces travailleurs (cf. consid. 5e ci-dessus). Ce comportement étant constitutif d'une infraction au droit des étrangers et, partant, d'une atteinte au sens de l'art. 6 LTN, c'est à juste titre que l'autorité intimée a, sur le principe, mis à sa charge les frais occasionnés par le contrôle du 30 août 2018. Pour le surplus, la recourante ne conteste ni le décompte d'heures effectué, qui paraît admissible au regard de la nature de l'affaire, ni le tarif appliqué, qui ne prête pas le flanc à la critique. On relèvera encore que la recourante n'a pas supporté l'entier des frais de contrôle liés à l'infraction constatée, puisque l'entreprise bailleur de service s'est également vu adresser une facturation à ce titre. En effet, il résulte du dossier relatif à la société J.________ Sàrl produit par l'autorité intimée que cette dernière a facturé à la recourante les opérations en lien avec le contrôle sur place, recouvrant les frais liés aux relations de travail contrôlées, et à J.________ Sàrl les frais découlant du temps consacré à l'instruction administrative vis-à-vis de cette société. Aucun montant n'a ainsi été prélevé à double, conformément au principe de la couverture des coûts (CDAP GE.2018.0086 du 12 décembre 2018, GE.2014.0010 du 25 février 2015 et GE.2009.0070 du 9 octobre 2009). Il s'ensuit que la seconde décision attaquée, intitulée "Décision de facturation des frais de contrôle", s'avère également bien fondée.</w:t>
      </w:r>
    </w:p>
    <w:p>
      <w:r>
        <w:rPr>
          <w:b/>
        </w:rPr>
        <w:t>E. 7</w:t>
      </w:r>
    </w:p>
    <w:p>
      <w:r>
        <w:t>Les considérants qui précèdent conduisent au rejet des recours et à la confirmation des deux décisions attaquées. La recourante, qui succombe, supportera les frais de justice (cf. art. 49 al. 1 et 91 LPA-VD; art. 4 al. 1 du tarif du 28 avril 2015 des frais judiciaires et des dépens en matière administrative [TFJDA; BLV 173.36.5.1]). Il n'y a pas lieu d'allouer de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