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GE.2019.0128 vom 8. November 2019</w:t>
      </w:r>
    </w:p>
    <w:p>
      <w:r>
        <w:t>VD Tribunal cantonal, 2019-11-08, FR</w:t>
      </w:r>
    </w:p>
    <w:p>
      <w:r>
        <w:rPr>
          <w:b/>
        </w:rPr>
        <w:t xml:space="preserve">Quelle: </w:t>
      </w:r>
      <w:r>
        <w:t>https://mcp.opencaselaw.ch/entscheid/vd_omni_GE.2019.0128</w:t>
      </w:r>
    </w:p>
    <w:p>
      <w:r>
        <w:t>FR: VD_OMNI GE.2019.0128 du 8 novembre 2019</w:t>
      </w:r>
    </w:p>
    <w:p>
      <w:r>
        <w:t>IT: VD_OMNI GE.2019.0128 del 8 novembre 2019</w:t>
      </w:r>
    </w:p>
    <w:p>
      <w:pPr>
        <w:pStyle w:val="Heading2"/>
      </w:pPr>
      <w:r>
        <w:t>Regeste</w:t>
      </w:r>
    </w:p>
    <w:p>
      <w:r>
        <w:t>A.________/Police cantonale | Recours contre un séquestre provisoire d'armes. Le recourant fait l'objet d'une enquête pénale dans un contexte de cyberpédophilie. Même s'il n'existe pas d’éléments concrets qui laisseraient craindre que le recourant commette des actes de violence, le tribunal rappelle que l'autorité n'a pas, lorsqu’elle procède à un séquestre préventif, à amener une preuve stricte pour retenir qu'il existe un risque de passage à l'acte. La décision attaquée est également conforme au principe de proportionnalité. Rejet du recours.</w:t>
      </w:r>
    </w:p>
    <w:p>
      <w:pPr>
        <w:pStyle w:val="Heading2"/>
      </w:pPr>
      <w:r>
        <w:t>Erwägungen</w:t>
      </w:r>
    </w:p>
    <w:p>
      <w:r>
        <w:rPr>
          <w:b/>
        </w:rPr>
        <w:t>E. 1</w:t>
      </w:r>
    </w:p>
    <w:p>
      <w:r>
        <w:t>Selon l'art. 95 de la loi du 28 octobre 2008 sur la procédure administrative (LPA-VD; BLV 173.36), applicable par renvoi de l'art. 27 al. 1 de la loi vaudoise du 5 septembre 2000 sur les armes, les accessoires d'armes, les munitions et les substances explosibles (LVLArm; BLV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Aucun permis d’acquisition d’armes n’est délivré aux personnes: a.  qui n’ont pas 18 ans révolus; b.  qui sont protégées par une curatelle de portée générale ou un mandat pour cause d’inaptitude;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d) Selon l'art. 30 al. 1 LArm (" Révocation d'autorisations "), l'autorité compétente révoque une autorisation lorsque les conditions de son octroi ne sont plus remplies (let. a) ou lorsque les obligations liées à l'autorisation ne sont plus respectées (let. b). L'art. 31 LArm, intitulé " Mise sous séquestre et confiscation ", prévoit: "1 L'autorité compétente met sous séquestre: a.  les armes que des personnes portent sans en avoir le droit; b.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w:t>
      </w:r>
    </w:p>
    <w:p>
      <w:r>
        <w:rPr>
          <w:b/>
        </w:rPr>
        <w:t>E. 3</w:t>
      </w:r>
    </w:p>
    <w:p>
      <w:r>
        <w:t>Avant d'examiner les éléments de fond, il convient encore de rappeler le principe selon lequel toute personne a droit, dans une procédure judiciaire ou administrative, à ce que sa cause soit traitée équitablement et jugée dans un délai raisonnable (art. 29 al. 1 Cst.). En l’espèce, l’autorité intimée a informé le recourant qu'il ne serait statué au plan administratif sur une éventuelle confiscation qu'à droit connu sur le volet pénal et que la procédure administrative était à cet égard d'ores et déjà suspendue. Or une procédure pénale de l'ampleur de celle qui concerne le recourant est susceptible de durer longtemps. Le séquestre provisoire n'a cependant pas vocation à être effectif sur une longue période. Au contraire, comme cela avait déjà été relevé dans l'arrêt GE.2015.0187 du 1 er février 2016: "[La loi] impose bien plutôt à l'autorité d'agir d'office, les al. 2 et 3 de l'art. 31 LArm disposant que l'autorité "restitue" ou "confisque définitivement" les armes, sans laisser à l'autorité le choix de ne pas statuer. Contrairement à ce que soutient l'autorité intimée, il lui revient précisément de faire diligence pour instruire si les motifs de retrait sont fondés, sans attendre ni que l'administré formule une demande en ce sens ni que le recours déposé contre le retrait préventif soit tranché. (…) plus le temps pris pour rendre la décision est long, moins l'aspect sommaire de l'examen des faits est justifiable". La nécessité de ne pas suspendre la procédure administrative de confiscation jusqu’à droit connu sur le plan pénal avait déjà a été rappelée à l’autorité intimée dans l’arrêt GE.2018.0164 du 7 janvier 2019. Certes, pour l'établissement des faits et des circonstances du cas, la décision pénale présente de l'intérêt pour l'autorité administrative, évitant le cas échéant une double instruction sur le même événement (ATF 136 II 447 consid. 3.1 et les arrêts cités). Cela ne justifie toutefois pas d’attendre jusqu'à droit connu sur le volet pénal si la procédure pénale dure plus que quelques mois, l’autorité administrative pouvant cas échéant statuer dès que l’essentiel de l’instruction pénale est terminé. Le fait qu’en l’occurrence la suspension ne figure pas au dispositif de la décision attaquée mais dans un courrier annexe ne change rien au fait qu’une telle suspension sine die n’est pas compatible avec le principe de célérité figurant à l’art. 29 al. 1 Cst.</w:t>
      </w:r>
    </w:p>
    <w:p>
      <w:r>
        <w:rPr>
          <w:b/>
        </w:rPr>
        <w:t>E. 4</w:t>
      </w:r>
    </w:p>
    <w:p>
      <w:r>
        <w:t>En l'espèce, la décision attaquée est motivée par l'intérêt public à éviter tout risque d'usage abusif de ses armes par le recourant. Elle repose plus précisément sur le risque de passage à l’acte que présenterait le recourant en raison de sa consommation d’images pédopornographiques. L’autorité intimée rappelle que le séquestre préventif est une mesure immédiate reposant, par la force des choses, sur une analyse de la situation prima facie . Même en cas de doute sur la dangerosité, l'intérêt public doit primer. En d'autres termes, il convient de privilégier l'intérêt public et de ne pas armer une personne potentiellement dangereuse. L’autorité intimée fait le lien entre la consommation d’images délictueuses et le passage à l’acte. Elle cite les déclarations d’un psychologue anglais selon lequel la peur que la pornographie enfantine en ligne augmente le nombre de comportements pédophiles est tout à fait justifiée (article dont la référence est https://www.courrierinternational.com / article / 2007 / 08 / 30 / pedophiles-une-deviance-a-traiter-des-l-enfance). Elle relève de plus que c'est également par le biais d'Internet que les auteurs de ces infractions prennent contact avec leurs victimes ( https://www.ncbi.nlm.nih.gov/pubmed/17895230) . Tout en admettant que le passage à l'acte, de la part du consommateur d'images pédophiles, n’est probablement pas systématique, l'autorité intimée souligne qu'il en existe toujours le risque. Face à ce risque de passage à l'acte, risque qui existe indubitablement, elle expose qu’elle se doit d'appliquer strictement la LArm, par un séquestre préventif garantissant que le recourant ne fera pas un usage abusif des armes en sa possession. Pour sa part, le recourant conteste tout risque de passage à l'acte. Il s'oppose à l’argumentation précitée en particulier en relevant qu’il n'est pas inscrit au casier judiciaire pour un acte dénotant un caractère violent ou dangereux ou pour la commission répétée de crimes ou de délits. Le tribunal de céans constate que cet élément de fait, qui est exact, n’est toutefois pas déterminant à lui tout seul. En effet, l'examen de la condition posée par l'art. 8 al. 2 let. c LArm (dangerosité) se fait indépendamment de celle posée par l'art. 8 al. 2 let. d LArm (référence au casier judiciaire). Une seule de ces deux conditions, si elle est isolément réalisée, suffit à refuser un permis d'acquisition, respectivement à saisir une arme. Le fait qu'une condamnation résultant de ces actes soit intervenue, respectivement soit ou non inscrite au casier judiciaire, n’est donc pas déterminant sous l'angle de l'art. 8 al. 2 let. c LArm, s'agissant de ce motif précis de refus du permis d'acquisition d'armes, respectivement de séquestre. Il convient en l'occurrence de tenir compte du contexte pénal dans lequel s'insère le séquestre contesté. Certes, dans une autre affaire, le tribunal avait considéré que le fait d'être impliqué dans une procédure pénale n'impliquait pas nécessairement de risque d'utilisation abusive d'une arme, en l'absence d'autre élément (cf. GE.2018.0164 du 7 janvier 2019 consid. 5). Il s’agissait toutefois d’une enquête pénale portant sur des aspects essentiellement financiers, alors qu’en l’occurrence il est question d’atteintes potentielles à l’intégrité sexuelle d’enfants. Même si, dans le cadre de l'enquête pénale visant le recourant, les atteintes ne sont en l'état qu’indirectes, par le biais de visionnement d’images pédopornographies, il s’agit d’un domaine dans lequel tout risque doit être écarté. D’ailleurs, le Tribunal fédéral a maintenu une application rigoureuse des dispositions pénales sanctionnant la consommation d'images pédophiles (cf. arrêt 6B_289/2009 du 16 septembre 2009, confirmé par la jurisprudence subséquente). Le recourant souligne le fait qu'il conserve ses armes dans un coffre-fort et qu'il n'a jusqu'à présent utilisé ses armes que dans un cadre sportif et dans des installations sécurisées prévues à cet effet. Ces éléments ne suffisent cependant pas pour considérer que tout risque d'usage abusif d'une arme peut être écarté. Mis à part le contexte pédopornographique en raison duquel le recourant fait l’objet d’une enquête pénale, l’autorité intimée ne soulève pas d’éléments concrets qui laisseraient craindre un passage à l’acte. Toutefois, comme on l’a vu ci-dessus, l'autorité n'a pas, lorsqu’elle procède à un séquestre préventif, à amener une preuve stricte pour retenir que l’hypothèse envisagée est réalisée . Dans ce cadre, il importe de prendre toutes les précautions utiles pour parer tout risque d'usage abusif sur la base d'une appréciation immédiate, voire sommaire, tout en réservant la procédure ultérieure ayant trait à une éventuelle confiscation. Au vu de ces éléments, il y a lieu de considérer que l’autorité intimée n’a pas violé le large pouvoir d’appréciation que lui confère la loi. La décision attaquée est également conforme au principe de proportionnalité. Ce principe, prescrit par l'art. 5 al. 2 Cst., exige qu'il y ait un rapport raisonnable entre le but d'intérêt public poursuivi et le moyen choisi pour l'atteindre. Il se décompose en trois maximes: celle de l'aptitude, celle de la nécessité, ainsi que celle de la proportionnalité au sens étroit (cf. ATF 136 I 17 consid. 4.4, 135 I 246 consid. 3.1, 130 II 425 consid. 5.2, 124 I 40 consid. 3e). Selon la maxime d'aptitude, le moyen choisi doit être propre à atteindre le but visé (cf. ATF 128 I 310 consid. 5b/cc). Il n'est pas contestable que le séquestre d'armes est propre à éviter un usage abusif des dites armes. La maxime de la nécessité exige qu'entre plusieurs moyens envisageables soit choisi celui qui, tout en atteignant le but visé, porte l'atteinte la moins grave aux droits et, dans une optique plus large, aux intérêts privés touchés (cf. ATF 130 II 425 consid. 5.2). En l'occurrence, on ne voit pas quelle mesure moins incisive pourrait écarter tout risque d'usage abusif de ses armes par le recourant. Enfin, la proportionnalité au sens étroit met en balance la gravité des effets de la mesure choisie sur la situation de l'administré et le résultat escompté du point de vue de l'intérêt public (cf. ATF 129 I 12 consid. 6 à 9). Sous cet angle , l'intérêt privé du recourant à rester en possession d'une arme est inférieur à l'intérêt public de s'assurer qu'il n'en sera pas fait un usage abusif.</w:t>
      </w:r>
    </w:p>
    <w:p>
      <w:r>
        <w:rPr>
          <w:b/>
        </w:rPr>
        <w:t>E. 5</w:t>
      </w:r>
    </w:p>
    <w:p>
      <w:r>
        <w:t>Au vu des considérants qui précèdent, le recours doit être rejeté et la décision attaquée confirmée. Le recourant ayant été mis au bénéfice de l'assistance judiciaire par décision du 24 juillet 2019, les frais judiciaires seront laissés à la charge de l'Etat (art. 122 al. 1 let. b du code de procédure civile du 19 décembre 2008 [CPC; RS 272], applicable par renvoi de l'art. 18 al. 5 LPA-VD). Compte tenu de l'issue du litige, il n'y a en outre pas lieu d'allouer d'indemnité à titre de dépens (art. 55 et 56 LPA-VD).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Raphaël Hämmerli peut être arrêtée à 2483 fr. 35, soit 2'196 fr. d'honoraires (12 heures et 12 minutes x 180 fr.) et 109 fr. 80 de débours (cf. art. 3 bis RAJ, disposant que les débours du conseil commis d'office sont fixés forfaitairement à 5% du défraiement hors taxe en première instance judiciaire et qu'entrent dans les débours forfaitaires les frais de photocopies, d'acheminement postal et de télécommunication), plus 177 fr. 55 de TVA (7.7% de [2'196 fr. + 109 fr. 80]). Il convient de préciser qu'au vu de l'art. 3 bis RAJ précité, il n'y a pas lieu d'ajouter au montant forfaitaire des débours, comme le demande le conseil concerné, une somme de 21 fr. pour les timbres. L'indemnité de conseil d'office est supportée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