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GE.2019.0113 vom 10. Juli 2019</w:t>
      </w:r>
    </w:p>
    <w:p>
      <w:r>
        <w:t>VD Tribunal cantonal, 2019-07-10, FR</w:t>
      </w:r>
    </w:p>
    <w:p>
      <w:r>
        <w:rPr>
          <w:b/>
        </w:rPr>
        <w:t xml:space="preserve">Quelle: </w:t>
      </w:r>
      <w:r>
        <w:t>https://mcp.opencaselaw.ch/entscheid/vd_omni_GE.2019.0113</w:t>
      </w:r>
    </w:p>
    <w:p>
      <w:r>
        <w:t>FR: VD_OMNI GE.2019.0113 du 10 juillet 2019</w:t>
      </w:r>
    </w:p>
    <w:p>
      <w:r>
        <w:t>IT: VD_OMNI GE.2019.0113 del 10 luglio 2019</w:t>
      </w:r>
    </w:p>
    <w:p>
      <w:pPr>
        <w:pStyle w:val="Heading2"/>
      </w:pPr>
      <w:r>
        <w:t>Regeste</w:t>
      </w:r>
    </w:p>
    <w:p>
      <w:r>
        <w:t>A.________/Municipalité de Lausanne | Mise en demeure - ayant valeur d'avertissement - prononcée à l'égard d'un employé de la Ville de Lausanne engagé par contrat de droit privé. Les litiges qui opposent un agent public engagé par contrat - que ce soit de droit privé ou administratif - à son employeur échappent à la compétence de la CDAP. Recours déclaré irrecevable.</w:t>
      </w:r>
    </w:p>
    <w:p>
      <w:pPr>
        <w:pStyle w:val="Heading2"/>
      </w:pPr>
      <w:r>
        <w:t>Erwägungen</w:t>
      </w:r>
    </w:p>
    <w:p>
      <w:r>
        <w:rPr>
          <w:b/>
        </w:rPr>
        <w:t>E. 1</w:t>
      </w:r>
    </w:p>
    <w:p>
      <w:r>
        <w:t>Le Tribunal cantonal examine d'office la recevabilité des recours qui lui sont adressés. Il vérifie également d'office s'il est compétent pour traiter la cause qui lui est soumise (art. 6 al. 1 de la loi du 28 octobre 2008 sur la procédure administrative [LPA-VD; BLV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aa) La loi du 28 février 1956 sur les communes (LC; BLV 175.11) prévoit l'adoption, par le conseil communal ou général, de règles sur le statut des collaborateurs communaux et la base de leur rémunération (art. 4 al. 1 ch. 9 LC). Les communes peuvent adopter un régime définissant un statut de "fonctionnaire", pour le personnel engagé par la collectivité à titre permanent à un poste durable. L'acte d'engagement du fonctionnaire est une décision, la nomination étant un acte unilatéral soumis à l'accord de l'intéressé. La décision soumet le fonctionnaire nommé aux normes générales régissant la fonction publique et elle a pour objet de rendre applicable un statut. Pour que ce statut, avec procédure de nomination, soit appliqué, il faut que la commune ait adopté une réglementation (statut de la fonction publique communale) fixant les conditions de nomination du fonctionnaire, ses droits et ses obligations, ainsi que la procédure disciplinaire et les conditions de révocation de la décision de nomination (arrêts CDAP GE.2016.0100 du 14 septembre 2016 consid. 1b; GE.2008.0172 du 11 décembre 2008 consid. 2b). En définissant le statut des collaborateurs communaux en application de l'art. 4 al. 1 ch. 9 LC, le conseil communal ou général peut aussi prévoir un engagement par voie contractuelle. L'art. 42 ch.</w:t>
      </w:r>
    </w:p>
    <w:p>
      <w:r>
        <w:rPr>
          <w:b/>
        </w:rPr>
        <w:t>E. 3</w:t>
      </w:r>
    </w:p>
    <w:p>
      <w:r>
        <w:t>Au vu de ce qui précède, le recours est irrecevable. Il n'y a pas lieu de percevoir de frais judiciaires,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