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GE.2019.0098 vom 6. Juli 2020</w:t>
      </w:r>
    </w:p>
    <w:p>
      <w:r>
        <w:t>VD Tribunal cantonal, 2020-07-06, FR</w:t>
      </w:r>
    </w:p>
    <w:p>
      <w:r>
        <w:rPr>
          <w:b/>
        </w:rPr>
        <w:t xml:space="preserve">Quelle: </w:t>
      </w:r>
      <w:r>
        <w:t>https://mcp.opencaselaw.ch/entscheid/vd_omni_GE.2019.0098</w:t>
      </w:r>
    </w:p>
    <w:p>
      <w:r>
        <w:t>FR: VD_OMNI GE.2019.0098 du 6 juillet 2020</w:t>
      </w:r>
    </w:p>
    <w:p>
      <w:r>
        <w:t>IT: VD_OMNI GE.2019.0098 del 6 luglio 2020</w:t>
      </w:r>
    </w:p>
    <w:p>
      <w:pPr>
        <w:pStyle w:val="Heading2"/>
      </w:pPr>
      <w:r>
        <w:t>Regeste</w:t>
      </w:r>
    </w:p>
    <w:p>
      <w:r>
        <w:t>A.________ /Département de la formation, de la jeunesse et de la culture, Direction générale de l'enseignement postobligatoire | Recours formé par un apprenti contre la décision du DFJC prononçant son échec aux examens de fin d'apprentissage. Les griefs du recourant en lien avec la correction de ses épreuves ne résistent pas à l'examen (consid. 3). Le recourant, qui effectue son stage auprès d'une entreprise située dans le canton de Vaud et suit sa formation dans une école professionnelle située en Valais, doit être considéré comme un étudiant vaudois; il convient dans ce cadre de distinguer l'évaluation de ses prestations scolaires, qui relève de la compétence des autorités valaisannes en application du droit valaisan, de la communication de ses résultats, qui relève de la compétence des autorités vaudoises (consid. 4a). Cela étant, l'autorité intimée a examiné la situation du recourant sous l'angle du "cas limite" (selon le droit vaudois). Un tel examen n'est toutefois prévu ni par les règles intercantonales ni par le droit valaisan, et le droit vaudois ne trouve pas application sur ce point – qui relève de l'appréciation des prestations; la décision attaquée doit en conséquence être confirmée à ce propos par substitution de motifs (consid. 4b). A supposer même, par hypothèse, que le recourant puisse se prévaloir des règles concernant le "cas limite" selon le droit vaudois, le tribunal ne pourrait que constater l'existence d'une lacune qu'il ne pourrait pas combler (consid. 4c). Rejet du recours et confirmation de la décision attaquée.</w:t>
      </w:r>
    </w:p>
    <w:p>
      <w:pPr>
        <w:pStyle w:val="Heading2"/>
      </w:pPr>
      <w:r>
        <w:t>Erwägungen</w:t>
      </w:r>
    </w:p>
    <w:p>
      <w:r>
        <w:rPr>
          <w:b/>
        </w:rPr>
        <w:t>E. 1</w:t>
      </w:r>
    </w:p>
    <w:p>
      <w:r>
        <w:t>Déposé en temps utile (cf. art. 95 de la loi vaudoise du 28 octobre 2008 sur la procédure administrative - LPA-VD; BLV 173.36), le recours satisfait par ailleurs aux autres conditions formelles de recevabilité (cf. en particulier art. 79 al. 1 LPA-VD, applicable par renvoi de l'art. 99 LPA-VD), de sorte qu'il y a lieu d'entrer en matière sur le fond.</w:t>
      </w:r>
    </w:p>
    <w:p>
      <w:r>
        <w:rPr>
          <w:b/>
        </w:rPr>
        <w:t>E. 2</w:t>
      </w:r>
    </w:p>
    <w:p>
      <w:r>
        <w:t>Des notes autres que des demi-notes ne sont autorisées que pour les moyennes résultant des points d'appréciation fixés par les prescriptions sur la formation correspondantes. Ces moyennes ne sont pas arrondies au-delà de la première décimale.</w:t>
      </w:r>
    </w:p>
    <w:p>
      <w:r>
        <w:rPr>
          <w:b/>
        </w:rPr>
        <w:t>E. 3</w:t>
      </w:r>
    </w:p>
    <w:p>
      <w:r>
        <w:t>Les prescriptions sur la formation peuvent prévoir d'autres systèmes d'appréciation. Art. 35 Examens finaux sanctionnant la formation professionnelle initiale (art. 17 LFPr) 1 L'autorité cantonale engage des experts qui font passer les examens finaux de la formation professionnelle initiale. […] 2 Les experts aux examens consignent par écrit les résultats obtenus par les candidats ainsi que les observations qu'ils ont faites au cours de la procédure de qualification, y compris les objections des candidats. […]</w:t>
      </w:r>
    </w:p>
    <w:p>
      <w:r>
        <w:rPr>
          <w:b/>
        </w:rPr>
        <w:t>E. 5</w:t>
      </w:r>
    </w:p>
    <w:p>
      <w:r>
        <w:t>Il résulte des considérants qui précèdent que le recours doit être rejeté et la décision attaquée confirmée. Un émolument de 1'000 fr. est mis à la charge du recourant, qui succombe (cf. art. 49 al. 1 LPA-VD; art. 1 et 4 al. 1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