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GE.2019.0062 vom 5. Oktober 2020</w:t>
      </w:r>
    </w:p>
    <w:p>
      <w:r>
        <w:t>VD Tribunal cantonal, 2020-10-05, FR</w:t>
      </w:r>
    </w:p>
    <w:p>
      <w:r>
        <w:rPr>
          <w:b/>
        </w:rPr>
        <w:t xml:space="preserve">Quelle: </w:t>
      </w:r>
      <w:r>
        <w:t>https://mcp.opencaselaw.ch/entscheid/vd_omni_GE.2019.0062</w:t>
      </w:r>
    </w:p>
    <w:p>
      <w:r>
        <w:t>FR: VD_OMNI GE.2019.0062 du 5 octobre 2020</w:t>
      </w:r>
    </w:p>
    <w:p>
      <w:r>
        <w:t>IT: VD_OMNI GE.2019.0062 del 5 ottobre 2020</w:t>
      </w:r>
    </w:p>
    <w:p>
      <w:pPr>
        <w:pStyle w:val="Heading2"/>
      </w:pPr>
      <w:r>
        <w:t>Regeste</w:t>
      </w:r>
    </w:p>
    <w:p>
      <w:r>
        <w:t>Commune de Lausanne/Commission de recours individuel, A.________ | Recours de la Municipalité contre une décision de la Commission de recours individuel (CRI) admettant le recours d'une fonctionnaire communale et modifiant la classification salariale du poste qu'elle occupe. Rappel du pouvoir d'examen limité dont dispose le Tribunal cantonal en matière de recours concernant la classification salariale des fonctionnaires communaux (consid. 2c). En l'occurrence, la CRI n'a pas exposé les motifs pour lesquels elle s'est écartée du profil retenu par la Municipalité. La comparaison faite avec d'autres postes du même service devrait être une méthode auxiliaire de classement; la méthode GFO s'appuie avant tout sur un catalogue de critères et de sous-critères. Or, en ne quantifiant pas les critères l'amenant à retenir un autre profil, la CRI n'a pas exercé son pouvoir d'appréciation d'une manière qui permette à la CDAP de statuer sur le recours dans les limites de son pouvoir d'examen (consid. 4). Admission du recours, annulation de la décision attaquée et renvoi de la cause à la CRI pour nouvelle décision.</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la qualité pour agir de la Municipalité devant être admise (cf. CDAP, arrêt GE.2018.0175 du 1 er juillet 2019 consid. 1b). Il convient donc d'entrer en matière sur le fond.</w:t>
      </w:r>
    </w:p>
    <w:p>
      <w:r>
        <w:rPr>
          <w:b/>
        </w:rPr>
        <w:t>E. 2</w:t>
      </w:r>
    </w:p>
    <w:p>
      <w:r>
        <w:t>Le présent litige porte sur la classification du poste occupé par A.________ dans le nouveau système de rémunération des fonctionnaires de la Commune de Lausanne. a)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l'occurrence, en sa qualité de fonctionnaire de la Commune de Lausanne, A.________ est soumise au RPAC (art. 1 RPAC).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de cette disposition.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L'art. 36 al. 2 RPAC précise que, dans l'échelle ordinaire, une classe de traitement comporte 27 échelons et son maximum est atteint par des augmentations ordinaires (annuités) accordées au début de chaque année pour autant que l'activité ait débuté depuis plus de six mois. Les dispositions de droit transitoire du RPAC déterminent au surplus les modalités de mise en œuvre du nouveau système de rémunération de la Commune de Lausanne (art. 1 du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D'après l'art. 2 al. 2 de ces dispositions, le personnel précité est soumis au régime transitoire fixé par les art. 3 à 8 des dispositions de droit transitoire du RPAC. Selon l'art. 4 des dispositions de droit transitoire du RPAC, la Municipalité détermine la classe de traitement et l'échelon de chaque collaborateur conformément à l'art.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(ci-après : le Guide).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La grille des fonctions est composée de deux axes : -   l'axe vertical "métiers" se découpe en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Le Guide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c)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arrêts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(CDAP GE.2018.0061 du 17 janvier 2019 consid. 2c; v. aussi récemment GE.2019.0042 du 24 avril 2020 consid. 3d; GE.2018.0176 du 12 février 2020 consid. 3). On rappelle à cet égard que la Cour de céans ne peut pas revoir l'opportunité de la décision attaquée (cf. art. 98 LPA-VD a contrario ).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 3. Dans un premier moyen, l'autorité recourante se plaint d'une violation de son droit d'être entendue, au motif que la Commission de recours individuel n'aurait pas suffisamment exposé les motifs pour lesquels elle entendait s'écarter du profil adapté 402 Travaux professionnels – Spécialiste I, niveau 8. L'autorité recourante fait également grief à la Commission dans ce cadre de ne pas l'avoir interpellée spécifiquement sur les "prétendues contradictions" existant entre les pièces du dossier et les déclarations du témoin B.________, si bien qu'elle n'avait pas été en mesure d'anticiper le raisonnement de la Commission et de se déterminer à cet égard. Si tel avait été le cas, elle aurait clarifié la situation, notamment en précisant que les organigrammes ne jouissent que d'une force probante modérée, en particulier compte tenu de la réorganisation "********". a) Les art. 33 ss LPA-VD concrétisent dans la loi les garanties consacrées aux art. 29 al. 2 de la Constitution fédérale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Tribunal fédéral [TF], arrêt 2C_1132/2018 du 21 janvier 2019 consid. 3.1). b) En l'occurrence, la décision de la Commission de recours individuel contient un exposé des faits essentiels. Elle a en outre invité l'autorité recourante à se déterminer à la suite de l'audience d'audition de témoin du 27 juin 2018, possibilité que celle-ci a saisie en déposant des déterminations le 24 août 2018. Quant au défaut de motivation invoqué s'agissant de la question des motifs pour lesquels la Commission entendait s'écarter du profil adapté 402 Travaux professionnels – Spécialiste I, niveau 8, celle-ci peut demeurer indécise, vu ce qui suit (consid. 4). 4. Sur le fond, l'autorité recourante conteste la modification de la classification salariale attribuée à A.________ par décision de la Commission de recours individuel, à savoir l'attribution du niveau 9 à partir du 1 er janvier 2017 au lieu du niveau 8 dès cette date. a) Dans la décision dont est recours, la Commission a retenu qu'un positionnement du poste de la tierce intéressée au niveau 9 de la chaîne 402 Travaux professionnels – Spécialiste I apparaissait cohérent tant avec la logique du service telle qu'elle ressort des organigrammes et des offres d'emploi publiées, qu'avec la méthode d'évaluation des fonctions. Elle a en particulier estimé que l'autorité recourante ne pouvait justifier le positionnement du poste de la tierce intéressée à deux niveaux d'écart des postes pris en comparaison. L'autorité recourante fait grief à la Commission d'avoir retenu que le seul élément justifiant une différence de positionnement entre le poste de la tierce intéressée et les postes comparés – principalement le poste n° ******** – tient à la formation d'ingénieur, alors que le témoin B.________ et elle-même ont apporté des éléments attestant d'autres différences. Pour l'autorité recourante, en ignorant ces preuves, la Commission a constaté les faits pertinents de manière inexacte. L'autorité recourante reproche également à la Commission de ne s'être référée que "partiellement" aux explications données par le témoin B.________ lors de l'audience d'instruction du 27 juin 2018. Elle relève encore que les organigrammes sont des documents internes, qui ont pour but d'illustrer la composition d'une entité à un moment donné, mais qui ne peuvent être assimilés à des documents techniques. Elle fait aussi valoir qu'une offre d'emploi ne permet pas non plus d'établir l'ensemble des tâches et responsabilités afférentes à un poste, ni de déterminer avec précision ses exigences, dans la mesure où elle consiste uniquement en une description non exhaustive des caractéristiques relatives au poste à repourvoir. b) La décision attaquée, antérieure à la jurisprudence de la Cour de céans (notamment à l'arrêt GE.2018.0175 du 1 er juillet 2019), est sommairement motivée. La Commission n'a en particulier guère exposé les motifs pour lesquels elle s'est écartée du profil adapté 402 niveau</w:t>
      </w:r>
    </w:p>
    <w:p>
      <w:r>
        <w:rPr>
          <w:b/>
        </w:rPr>
        <w:t>E. 8</w:t>
      </w:r>
    </w:p>
    <w:p>
      <w:r>
        <w:t>Ce profil a une cote de 28.50 points, qui le situe au bas du spectre du niveau 8 (de 28.10 à 32.31 points). Quant au spectre du niveau 9, retenu par la Commission, il s'étend de 32.32 à 36.85 points. Toutefois, la Commission ne s'est pas référée dans la décision attaquée au profil adapté du poste en question, ni n'a examiné la pondération des sous-critères. Elle s'est fondée essentiellement sur la comparaison du poste en cause avec d'autres postes du même service, point qu'elle a instruit en audience. Elle est alors parvenue à la conclusion qu'il y avait des contradictions entre les moyens de preuve, et qu'il n'était pas possible de distinguer entre les responsabilités et tâches du poste de la tierce intéressée et celles des postes de comparaison. Restait alors la formation comme critère objectif de distinction. C'est ainsi sur la base de ce seul sous-critère que la Commission de recours individuel a classé le poste de la tierce intéressée au niveau 9, soit en-dessous du poste de comparaison n° ******** (ingénieur), mais au-dessus de la classification de la Ville de Lausanne (niveau 8). Or la comparaison avec d'autres postes devrait être une méthode auxiliaire de classement, dès lors que la méthode GFO s'appuie en premier lieu sur un catalogue de critères principaux et de sous-critères pour évaluer les fonctions (cf. consid. 2b ci-dessus). La Commission pouvait d'autant moins se fonder sur la comparaison des postes que l'instruction y relative n'a pas donné de résultat très clair. En définitive, la Commission de recours individuel a admis le recours en se fondant sur le seul sous-critère de la formation, sans toutefois quantifier l'ampleur de cette revalorisation. Or, selon la méthode GFO, le niveau d'exigence correspondant à chaque critère est évalué par un nombre de points, le nombre total de points obtenus étant déterminant pour l'attribution d'une fonction à un niveau. A chaque niveau correspond un "spectre", soit une fourchette comportant une limite basse et une limite haute du nombre total des points, de sorte qu'une réévaluation des exigences relatives à un ou plusieurs critères n'entraîne pas nécessairement un changement de niveau, le total des points après adaptation pouvant rester à l'intérieur du spectre concerné. Dans un tel système, si la Commission entend s'écarter des évaluations à laquelle a procédé la Municipalité, il lui incombe en principe d'indiquer le nombre de points qu'elle retient pour les critères concernés, afin que l'on sache si cette réévaluation a ou non une incidence sur la classification du poste. En raison de son pouvoir d'examen limité (cf. consid. 2c ci-dessus), il n'appartient pas à la Cour de céans de procéder elle-même à cette évaluation, car cela reviendrait à exercer un pouvoir d'appréciation dont elle ne dispose pas. La Cour de céans peut tout au plus examiner l'appréciation portée par les instances précédentes (cf. CDAP GE.2018.0175 précité consid. 4c; voir aussi GE.2019.0058 du 5 décembre 2019 consid. 5c). Dans ces conditions particulières, en ne quantifiant en particulier pas les critères la conduisant à retenir le niveau 9 de la chaîne 402 Travaux professionnels – Spécialiste I, la Commission n'a pas exercé son pouvoir d'appréciation d'une manière qui permette à la Cour de céans de statuer sur le recours dans les limites de son pouvoir d'examen. Il convient ainsi d'annuler la décision attaquée et de renvoyer la cause à la Commission de recours individuel (cf. art. 90 al. 2 in fine LPA-VD, aux termes duquel l'autorité de recours, qui réforme en principe la décision attaquée [art. 90 al. 1 LPA-VD], renvoie cependant la cause à l'autorité intimée si réformer reviendrait à statuer en opportunité en lieu et place de cette dernière), afin qu'elle rende une nouvelle décision, en motivant de manière plus précise et plus complète son prononcé, dans le sens des considérants qui précèdent. 5. Il découle des considérants qui précèdent que le recours doit être admis. La décision attaquée est annulée et la cause renvoyée à l'autorité intimée pour nouvelle décision dans le sens des considérants. Les frais de la procédure sont laissés à la charge de l'Etat (art. 50,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