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GE.2019.0018 vom 11. März 2019</w:t>
      </w:r>
    </w:p>
    <w:p>
      <w:r>
        <w:t>VD Tribunal cantonal, 2019-03-11, FR</w:t>
      </w:r>
    </w:p>
    <w:p>
      <w:r>
        <w:rPr>
          <w:b/>
        </w:rPr>
        <w:t xml:space="preserve">Quelle: </w:t>
      </w:r>
      <w:r>
        <w:t>https://mcp.opencaselaw.ch/entscheid/vd_omni_GE.2019.0018</w:t>
      </w:r>
    </w:p>
    <w:p>
      <w:r>
        <w:t>FR: VD_OMNI GE.2019.0018 du 11 mars 2019</w:t>
      </w:r>
    </w:p>
    <w:p>
      <w:r>
        <w:t>IT: VD_OMNI GE.2019.0018 del 11 marzo 2019</w:t>
      </w:r>
    </w:p>
    <w:p>
      <w:pPr>
        <w:pStyle w:val="Heading2"/>
      </w:pPr>
      <w:r>
        <w:t>Regeste</w:t>
      </w:r>
    </w:p>
    <w:p>
      <w:r>
        <w:t>A.________/Tribunal cantonal Cour administrative | Refus définitif d'autoriser le recourant à se présenter aux examens d'avocat en raison de l'écoulement du temps, en vertu de l'art. 32 al. 3 LPAv. Les motifs invoqués en vue d'une restitution de ce délai ne constituent pas des empêchements non fautifs de se présenter aux examens, à supposer l'art. 22 LPA-VD applicable dans un tel cas. Le recourant ne peut pas non plus se prévaloir de l'art. 3 al. 3 REAv, son dernier désistement à la veille des examens ne constituant pas un échec au sens de cette disposition. Recours rejeté. Recours au TF rejeté (2C_349/2019 du 27 juin 2019).</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[LPA-VD; BLV 173.36]). En l’espèce, le recours a été interjeté dans la forme (art. 79 al. 1 et 99 LPA-VD) et le délai (art. 95 LPA-VD) prévus par la loi.</w:t>
      </w:r>
    </w:p>
    <w:p>
      <w:r>
        <w:rPr>
          <w:b/>
        </w:rPr>
        <w:t>E. 2</w:t>
      </w:r>
    </w:p>
    <w:p>
      <w:r>
        <w:t>Les conditions de l'article 8, alinéa 1 LLCA doivent être remplies.</w:t>
      </w:r>
    </w:p>
    <w:p>
      <w:r>
        <w:rPr>
          <w:b/>
        </w:rPr>
        <w:t>E. 3</w:t>
      </w:r>
    </w:p>
    <w:p>
      <w:r>
        <w:t>Le candidat dispose d'un délai de deux ans dès la fin de son stage pour se présenter aux examens d'avocat. En cas d'échec, il dispose d'un délai de dix-huit mois depuis la communication dudit échec pour se représenter.</w:t>
      </w:r>
    </w:p>
    <w:p>
      <w:r>
        <w:rPr>
          <w:b/>
        </w:rPr>
        <w:t>E. 4</w:t>
      </w:r>
    </w:p>
    <w:p>
      <w:r>
        <w:t>Le recourant allègue à titre subsidiaire que sa déclaration de retrait de son inscription à la session d'examens, formulée le 6 juin 2018, pourrait être considérée comme un retrait d'examen au sens de l'art. 3 al. 3 REAv, valant échec. Dans ce cas, l'art. 32 al. 3 in fine LPAv octroie un délai supplémentaire de dix-huit mois depuis la communication de l'échec pour se représenter. Il conclut ainsi à ce qu'un tel délai supplémentaire lui soit accordé. Cette conclusion ne peut être suivie: la lettre du recourant, du 6 juin 2018 commence sans équivoque par la phrase: " Je vous confirme le retrait de mon inscription ". De formation juridique, le recourant, qui avait d'ailleurs déjà retiré à plusieurs reprises son inscription à des sessions d'examens antérieures, ne pouvait ignorer la distinction contenue à l'art. 3 REAv entre les alinéas 2 et 3. L'alinéa second porte sur le retrait d'une inscription et l'alinéa trois sur le retrait ou la non-présentation à un examen. Cette distinction lui a d'ailleurs été rappelée par le président de la commission d'examens, le 22 juin 2018. Le recourant n'a pas contesté cette décision qui niait un cas de force majeure au sens de l'art. 3 al. 2 REAv et lui facturait la moitié de la finance d'inscription. Il n'y a dès lors pas lieu d'appliquer ici l'art. 3 al. 3 REAv et de retenir que le recourant serait en situation d'échec. Il ne peut ainsi se prévaloir d'un délai supplémentaire de dix-huit mois tel que prévu à l'art. 32 al. 3 in fine LPAv.</w:t>
      </w:r>
    </w:p>
    <w:p>
      <w:r>
        <w:rPr>
          <w:b/>
        </w:rPr>
        <w:t>E. 5</w:t>
      </w:r>
    </w:p>
    <w:p>
      <w:r>
        <w:t>Les considérants qui précèdent conduisent au rejet du recours et à la confirmation de la décision attaquée. Vu le présent arrêt, il n'y a pas lieu de statuer sur la demande de mesures provisionnelles formée par le recourant. Succombant, le recourant supportera l'émolument de justice (art. 49 LPA-VD) et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