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GE.2019.0017 vom 24. Februar 2020</w:t>
      </w:r>
    </w:p>
    <w:p>
      <w:r>
        <w:t>VD Tribunal cantonal, 2020-02-24, FR</w:t>
      </w:r>
    </w:p>
    <w:p>
      <w:r>
        <w:rPr>
          <w:b/>
        </w:rPr>
        <w:t xml:space="preserve">Quelle: </w:t>
      </w:r>
      <w:r>
        <w:t>https://mcp.opencaselaw.ch/entscheid/vd_omni_GE.2019.0017</w:t>
      </w:r>
    </w:p>
    <w:p>
      <w:r>
        <w:t>FR: VD_OMNI GE.2019.0017 du 24 février 2020</w:t>
      </w:r>
    </w:p>
    <w:p>
      <w:r>
        <w:t>IT: VD_OMNI GE.2019.0017 del 24 febbraio 2020</w:t>
      </w:r>
    </w:p>
    <w:p>
      <w:pPr>
        <w:pStyle w:val="Heading2"/>
      </w:pPr>
      <w:r>
        <w:t>Regeste</w:t>
      </w:r>
    </w:p>
    <w:p>
      <w:r>
        <w:t>A.________/Municipalité de Rennaz, Direction générale de la mobilité et des routes DGMR | Recours contre le refus de la municipalité, fondé sur le préavis négatif de l'OFROU, de n'autoriser l'apposition que l'une des deux réclames demandées par une entreprise, comportant notamment le nom et le logo de l'entreprise, de chaque côté de l'un des angles d'un bâtiment, à environ 20 m d'une autoroute. Il faut constater avec l'OFROU que l'une des réclames sera visible dans les deux sens de circulation, même pour les conducteurs vouant leur attention à la circulation; or, l'OSR ne permet d'autoriser qu'une seule enseigne par sens de circulation. Recours rejeté. Recours au TF rejeté par arrêt 2C_319/2020 du 28 août 2020.</w:t>
      </w:r>
    </w:p>
    <w:p>
      <w:pPr>
        <w:pStyle w:val="Heading2"/>
      </w:pPr>
      <w:r>
        <w:t>Erwägungen</w:t>
      </w:r>
    </w:p>
    <w:p>
      <w:r>
        <w:rPr>
          <w:b/>
        </w:rPr>
        <w:t>E. 1</w:t>
      </w:r>
    </w:p>
    <w:p>
      <w:r>
        <w:t>Le litige porte sur le refus de la municipalité d'autoriser l'apposition, à chaque extrémité supérieure de l'angle nord-ouest du bâtiment ECA n° 390 sis sur la parcelle n° 411 de la commune de Rennaz, de deux panneaux rectangulaires lumineux comportant l'indication "A.________ / ********" ainsi que l'emblème de l'entreprise et un module photovoltaïque, chaque panneau devant présenter une largeur de quatre mètres pour une hauteur d'un mètre.</w:t>
      </w:r>
    </w:p>
    <w:p>
      <w:r>
        <w:rPr>
          <w:b/>
        </w:rPr>
        <w:t>E. 2</w:t>
      </w:r>
    </w:p>
    <w:p>
      <w:r>
        <w:t>La recourante a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429).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complet de la demande d'autorisation de pose de procédés de réclame, dont les montages photographiques produits par la recourante. Pour le reste, la recourante et l'autorité intimée ont pu faire valoir leurs arguments lors de l'échange d'écritures intervenu dans la présente procédure, la recourante ayant même déposé un mémoire complémentaire. L'ensemble de ces éléments rend superflue la tenue d'une inspection locale et il y a dès lors lieu de rejeter la requête en ce sens.</w:t>
      </w:r>
    </w:p>
    <w:p>
      <w:r>
        <w:rPr>
          <w:b/>
        </w:rPr>
        <w:t>E. 3</w:t>
      </w:r>
    </w:p>
    <w:p>
      <w:r>
        <w:t>a) La pose de réclames routières aux abords des autoroutes et semi-autoroutes est régie par le droit fédéral. L’art. 6 de la loi fédérale du 19 décembre 1958 sur la circulation routière (LCR; RS 741.01) interdit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(al. 1.) Le Conseil fédéral peut interdire toutes réclames et autres annonces sur les autoroutes et semi-autoroutes ainsi qu'à leurs abords (al. 2). L’art. 98 de l’ordonnance fédérale du 5 septembre 1979 sur la signalisation routière (OSR; RS 741.21), qui concrétise cette disposition, a la teneur suivante: "1 Les réclames routières sont interdites aux abords des autoroutes et des semi-autoroutes. 2 Sont toutefois autorisées: a. une enseigne d'entreprise dans chaque sens de circulation par entreprise; b. des annonces axées sur l'éducation ou la prévention routières ou sur la gestion du trafic; la surface des indications éventuelles concernant le parrainage de l'annonce ne doit pas mesurer plus d'un dixième de celle du panneau. […]" A teneur de l’art. 95 OSR, sont considérées comme réclames routières toutes les formes de publicité et autres annonces faites par l'écriture, l'image, la lumière, le son, etc., qui sont situées dans le champ de perception des conducteurs lorsqu'ils vouent leur attention à la circulation (al. 1). Les enseignes d'entreprises sont des réclames routières contenant le nom de l'entreprise, une ou plusieurs indications de la branche d'activité (p. ex. "Matériaux de construction", "Horticulture") et, le cas échéant, un emblème d'entreprise, qui sont placées directement sur le bâtiment de l'entreprise ou à ses abords immédiats (al. 2). La mise en place ou la modification de réclames routières requiert l'autorisation de l'autorité compétente en vertu du droit cantonal. Avant de délivrer une autorisation pour des réclames routières sur le domaine des routes nationales de 1 ère et de 2 ème classes, il convient d'obtenir l'approbation de l'OFROU. Les cantons peuvent établir des dérogations à l'obligation de requérir une autorisation lorsqu'il s'agit de réclames routières qui seront placées dans des localités (art. 99 OSR). b) La commune de Rennaz est dotée d'un règlement sur les procédés de réclame datant du 8 septembre 1972. Celui-ci se fonde par conséquent sur l'ancienne loi du 22 septembre 1970 sur les procédés de réclame qui a été abrogée par la nouvelle loi du 6 décembre 1988 sur les procédés de réclame (LPR; BLV 943.11). Or, conformément à la jurisprudence du tribunal de céans, les règlements communaux antécédents à la nouvelle loi doivent être considérés comme caducs (arrêt GE.1999.0145 du 31 mai 2000 consid. 2). Selon l'art. 18 al. 2 LPR, en l'absence de règlement communal, les dispositions du règlement cantonal s'appliquent. La procédure d’autorisation est réglée à l’art. 28 du règlement cantonal du 31 janvier 1990 de la loi du 6 décembre 1988 sur les procédés de réclame (RLPR; BLV 943.11.1) qui prévoit ce qui suit. " 1 La demande d'autorisation est adressée à la municipalité, sous réserve du cas prévu au dernier alinéa ci-après. […]</w:t>
      </w:r>
    </w:p>
    <w:p>
      <w:r>
        <w:rPr>
          <w:b/>
        </w:rPr>
        <w:t>E. 5</w:t>
      </w:r>
    </w:p>
    <w:p>
      <w:r>
        <w:t>Sur une bande de 10 mètres mesurée du bord extérieur de la bande d'arrêt d'urgence ou de la chaussée d'une autoroute ou semi-autoroute, la demande d'autorisation est adressée au département." c) En l'espèce, il n'est pas contesté que les deux enseignes litigieuses constituent une "réclame routière" et qu'elles doivent prendre place à une distance d'environ 20 m d'une autoroute. Il n'est par ailleurs pas contesté que les deux réclames routières sont situées " dans le champ de perception des conducteurs lorsqu'ils vouent leur attention à la circulation " (cf. art. 95 al. 1 in fine OSR) et qu'elles entrent par conséquent dans le champ d'application des art. 95 ss OSR. La demande d'autorisation a ainsi été correctement adressée à la municipalité (art. 28 al. 1 RLPR) et c'est également à juste titre que l'approbation de l'OFROU a été sollicitée, celle-ci étant requise afin que la municipalité puisse délivrer son autorisation (art. 99 al. 1 OSR). La recourante conteste toutefois l'appréciation de l'OFROU selon laquelle l'enseigne située à l'ouest, destinée à l'axe de circulation Martigny-Lausanne, serait également visible dans l'autre sens, c'est-à-dire dans l'axe de circulation Lausanne-Martigny, avec pour conséquence que les conducteurs circulant sur ce dernier axe n'ont dans leur champ de perception pas une seule réclame mais bien les deux réclames, alors que seule une enseigne d'entreprise est autorisée dans chaque sens de circulation (art. 98 al. 2 let. a OSR). Sur ce point, il ressort des images tirées de Google Street View produites par la recourante avec sa demande d'autorisation déposée à la municipalité que la façade ouest concernée, située à environ 20 m de la chaussée, est bel et bien visible depuis l'autoroute et ce, dans les deux sens de circulation; si elle est certes davantage visible dans le sens Martigny-Lausanne (ou sud-ouest – nord-est), elle l'est néanmoins également dans le sens Lausanne-Martigny (ou nord-est – sud-ouest). Or, pour les automobilistes circulant dans ce sens, une enseigne est déjà prévue sur la façade nord, si bien que deux enseignes seront visibles pour ce sens de circulation, en violation de l'art. 98 al. 1 et al. 2 let. a OSR. La situation est ainsi différente de celle ayant fait l'objet de l'arrêt GE.2011.0010 du 6 décembre 2011 cité par la recourante et dans lequel la cour de céans a retenu que des éléments apposés sur une façade ne sauraient être qualifiés comme étant " situés dans le champ de perception des conducteurs qui vouent leur attention à la circulation ", c'est-à-dire qui regardent devant eux, dans la mesure où la façade concernée, perpendiculaire à la route, n'apparaît dans l'angle de vision que pendant un très court instant et ce à condition que l'on porte volontairement le regard vers la droite (consid. 3). En effet, dans le cas d'espèce, la façade concernée par le panneau litigieux, soit la façade ouest, est visible depuis une distance de 60 m précédant l'emplacement du panneau et entre clairement dans le champ de perception des automobilistes circulant sur la voie Lausanne-Martigny, même lorsque ceux-ci vouent leur attention à la circulation, comme le démontrent les images figurant sur Google Street View, consulté en corrélation avec le Guichet cartographique vaudois. Durant un moment à tout le moins, les deux panneaux sont ainsi visibles simultanément dans le champ de perception des conducteurs qui vouent leur attention à la circulation avec le risque que cette attention soit détournée de la circulation plus longtemps du fait de la plus longue durée de perception de l'enseigne publicitaire litigieuse, quasiment doublée en raison de la présence et de la visibilité des deux enseignes dans ce sens de circulation. Après avoir été attirée par la première enseigne (façade nord, effectivement destinée à ce sens de circulation), l'attention des usagers de l'autoroute risquera en effet d'être portée plus longtemps sur le bâtiment de la recourante – et donc détournée de la circulation – du fait de la présence visible de la seconde enseigne, sur la façade ouest, quand bien même celle-ci est destinée au sens de circulation opposé. C'est ainsi à juste titre que l'autorité intimée a refusé la pose de deux procédés de réclame tels que demandés par la recourante, avec la précision apportée par l'OFROU que l'emplacement de l'un des deux panneaux devait donc être revu ou supprimé. 4. Il résulte de ce qui précède que le recours doit être rejeté et la décision attaquée, confirmée. Succombant, la recourante supporte les frais de justice ainsi que des dépens en faveur de l'autorité intimée qui a agi avec l'assistance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