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GE.2018.0258 vom 9. Januar 2020</w:t>
      </w:r>
    </w:p>
    <w:p>
      <w:r>
        <w:t>VD Tribunal cantonal, 2020-01-09, FR</w:t>
      </w:r>
    </w:p>
    <w:p>
      <w:r>
        <w:rPr>
          <w:b/>
        </w:rPr>
        <w:t xml:space="preserve">Quelle: </w:t>
      </w:r>
      <w:r>
        <w:t>https://mcp.opencaselaw.ch/entscheid/vd_omni_GE.2018.0258</w:t>
      </w:r>
    </w:p>
    <w:p>
      <w:r>
        <w:t>FR: VD_OMNI GE.2018.0258 du 9 janvier 2020</w:t>
      </w:r>
    </w:p>
    <w:p>
      <w:r>
        <w:t>IT: VD_OMNI GE.2018.0258 del 9 gennaio 2020</w:t>
      </w:r>
    </w:p>
    <w:p>
      <w:pPr>
        <w:pStyle w:val="Heading2"/>
      </w:pPr>
      <w:r>
        <w:t>Regeste</w:t>
      </w:r>
    </w:p>
    <w:p>
      <w:r>
        <w:t>A.________/Association du Port d'Yvonand, Municipalité d'Yvonand | Recours contre le retrait de l'autorisation d'amarrage du recourant. Compétence de la CDAP donnée lorsque l'autorité révoque, par le biais d'une décision, les sous-concessions délivrées à des particuliers. Rejet du grief de violation du droit d'être entendu, ainsi que du moyen du recourant tiré de la violation du principe de la transparence. La décision de retrait de la place d'amarrage est conforme au principe de la proportionnalité, compte tenu des avertissements préalables adressés au recourant et de la violation répétée, par le recourant, des dispositions réglementaires du port, en particulier celles relatives à l'amarrage correct de son embarcation. Recours rejeté.</w:t>
      </w:r>
    </w:p>
    <w:p>
      <w:pPr>
        <w:pStyle w:val="Heading2"/>
      </w:pPr>
      <w:r>
        <w:t>Erwägungen</w:t>
      </w:r>
    </w:p>
    <w:p>
      <w:r>
        <w:rPr>
          <w:b/>
        </w:rPr>
        <w:t>E. 1</w:t>
      </w:r>
    </w:p>
    <w:p>
      <w:r>
        <w:t>Le recourant a contesté l'acte qui lui a été adressé sans indication des voies de droit par l'autorité intimée le 18 septembre 2018 auprès de la Commission de conciliation en matière de bail à loyer. Cette dernière lui a délivré le 27 novembre 2018 une autorisation de procéder et de porter l'action dans un délai de trente jours auprès du Tribunal des baux, ce que le recourant a entrepris le 18 décembre 2018; parallèlement, il a déposé, le 18 décembre 2018 également, un recours auprès de la CDAP. La mesure prise le 18 septembre 2018 constitue bien une décision, qui aurait dû faire l'objet d'un recours dans les trente jours auprès de la CDAP. En effet, dans le canton de Vaud, les eaux et leurs lits, tels que définis à l'art. 64 du Code de droit privé judiciaire vaudois du 12 janvier 2010 (CDPJ; BLV 211.02), sont considérés comme dépendants du domaine public, sous réserve des droits privés valablement constitués avant ou après l'entrée en vigueur de cette loi (art. 63 al. 1 ch. 2 CDPJ, en vigueur depuis le 1 er janvier 2011; cf. art. 138 al. 1 ch. 2 de la loi du 30 novembre 1910 d'introduction dans le canton de Vaud du Code civil suisse [LVCC], abrogée avec effet au 31 décembre 2010).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(art. 64 al. 1 ch. 1 et 2 CDPJ; ancien art. 138a al. 1 ch. 1 et 2 LVCC). Aucun usage du domaine public par un particulier ne peut être acquis par occupation (art. 65 al. 2 CDPJ; ancien art. 134 LVCC). Ainsi en est-il des eaux du lac de Neuchâtel. Le droit de disposer des eaux dépendant du domaine public appartient à l'Etat (art. 1 er de la loi vaudoise du 5 septembre 1944 sur l'utilisation des lacs et cours d'eau dépendant du domaine public [LLC; BLV 731.01]), qui peut en octroyer l’usage pour des ports sous forme de concession (art. 24 al. 1 LLC). Dès lors, le stationnement permanent d'un bateau dans un port constitue un usage privatif du domaine public lacustre, soumis, en droit vaudois, à concession (CDAP GE.2015.0087 du 5 février 2016 consid. 4a). On considère généralement que la concession, acte relevant exclusivement du droit public, présente une nature mixte, pour partie unilatérale (objet d'une décision au sens de l'art. 3 al. 1 de la loi du 28 octobre 2008 sur la procédure administrative [LPA-VD; BLV 173.36)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(CDAP GE.2015.0170 consid. 2a et la réf. cit.; GE.2015.0087 précité consid. 4c). En l'occurrence, le port d'Yvonand est au bénéfice d'un acte de concession délivré par le Conseil d'Etat à la Commune d'Yvonand. Cette dernière l'a transmis par convention à l'Association du Port d'Yvonand (cf. art. 1 er du règlement). Le règlement définit les conditions d'exploitation du port d'Yvonand (cf. art. 1 er in initio). Conformément à l'art. 64 du règlement, les décisions prises par l'Association du Port d'Yvonand sont susceptibles d'un recours auprès du Tribunal administratif (devenu la CDAP depuis le 1 er janvier 2008), avenue Eugène-Rambert 15, 1014 Lausanne. La compétence de la CDAP pour connaître du litige opposant A.________ à l'Association du Port d'Yvonand est dès lors donnée. Conformément à l'art. 20 al. 2 LPA-VD, le délai est réputé sauvegardé lorsqu'une partie s'adresse en temps utile à une autorité incompétente. Tel est le cas en l'espèce, dès lors que la décision du 18 septembre 2018 a été contestée par pli recommandé du 17 octobre 2018 auprès de la Commission de conciliation en matière de bail à loyer, le recourant ne devant de surcroît pas pâtir de l'absence d'indication des voies de droit dans la décision de l'association du 18 septembre 2018. Il y a dès lors lieu d'entrer en matière. Pour le surplus, déposé dans le délai de trente jours fixé par l’art. 95 LPA-VD, le recours dirigé contre la décision du 26 mars 2019 est intervenu en temps utile, et respecte au surplus les conditions formelles énoncées à l’art. 79 LPA-VD.</w:t>
      </w:r>
    </w:p>
    <w:p>
      <w:r>
        <w:rPr>
          <w:b/>
        </w:rPr>
        <w:t>E. 2</w:t>
      </w:r>
    </w:p>
    <w:p>
      <w:r>
        <w:t>Dans un premier moyen, le recourant se plaint, dans ses deux recours, d'une violation de son droit d'être entendu.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p. 222 s. et les références). Selon la jurisprudence, la violation du droit d'être entendu peut être réparée lorsque la partie lésée a la possibilité de s'exprimer devant une autorité de recours jouissant d'un plein pouvoir d'examen (ATF 142 II 218 consid. 2.8.1 p. 226 et les références).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p. 226 et les références). La jurisprudence a déduit du droit d'être entendu garanti par l'art. 29 al. 2 Cst.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 b) En l'occurrence, il est vrai que l'autorité intimée n'a pas interpellé préalablement le recourant avant de lui notifier sa décision de septembre 2018. Le recourant a toutefois eu l'occasion de s'exprimer, à l'instar de l'autorité intimée, devant l'autorité de conciliation en matière de baux à loyer, qu'il a saisie avant de procéder devant la CDAP. Le recourant disposait ainsi de tous les éléments nécessaires pour développer utilement sa motivation dans le cadre du recours adressé à la CDAP, de sorte que l'on retiendra que la violation en cause a été réparée. S'agissant par ailleurs de la décision rendue le 26 mars 2019 et contestée par acte du 24 avril 2019, elle a bien été rendue après que le recourant a pu s'exprimer à son sujet. Quant au fait que les observations du recourant datent du 25 mars 2019, et que la décision lui a été adressée le lendemain, l'intéressé y voyant un indice selon lequel dite décision aurait été prise en amont pour que l'autorité portuaire puisse "se débarrasser rapidement" de lui, il s'agit là d'une simple hypothèse, de même que la supposition du recourant selon laquelle son origine suisse-allemande "semble faire l'objet de ce qui pourrait être ressenti comme une forme d'acharnement à son encontre". Le fait par ailleurs que l'autorité intimée n'aurait pas tenu compte des remarques qu'il a formulées ne consacre pas non plus une violation du droit d'être entendu du recourant, qui a du reste été en mesure de comprendre la portée des décisions en cause et de les attaquer valablement. L'autorité intimée n'avait au demeurant pas à prendre position de façon détaillée sur chacun des points soulevés. S'agissant plus spécifiquement des allégations d'intervention malveillante d'un tiers qui aurait détaché les amarres de l'embarcation, l'autorité intimée a pris position à leur sujet. Elle a ainsi exposé qu'au vu des circonstances de l'accident, avec arrachage du taquet de fixation, l'intervention aurait dû nécessairement se faire depuis la proue du bateau; le tiers se serait alors retrouvé bloqué sur l'embarcation, au milieu de chenal. Quant aux réquisitions formulées par le recourant au stade de ses observations, et tendant à l'audition de son beau-frère et au visionnage des images de caméra de vidéosurveillance du port, l'autorité intimée a exposé les raisons qui l'avaient conduite à les rejeter: en premier lieu, elle a estimé que l'audition du beau-frère du recourant n'était pas de nature à modifier sa position. Il n'y avait par ailleurs pas encore de caméra en fonction durant la période en cause, si bien qu'il n'y avait pas d'images de vidéosurveillance. Le grief de violation du droit d'être entendu doit donc être rejeté. c)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d) L'autorité intimée a requis l'audition de son président, ainsi que de quatre témoins (B.________, F.________, C.________ et D.________). En l’occurrence, le tribunal s’estime suffisamment renseigné par le dossier, ainsi que par les explications données par l'autorité intimée dans ses réponses, si bien qu'il ne sera pas donné suite aux réquisitions de l'autorité intimée.</w:t>
      </w:r>
    </w:p>
    <w:p>
      <w:r>
        <w:rPr>
          <w:b/>
        </w:rPr>
        <w:t>E. 3</w:t>
      </w:r>
    </w:p>
    <w:p>
      <w:r>
        <w:t>Dans un autre moyen, le recourant soutient que le principe de la transparence ancré dans la loi sur l'information du 24 septembre 2002 (LInfo; BLV 170.21) a été violé, dans la mesure où le règlement de l'association intimée n'est pas disponible sur le site Internet de celle-ci et qu'aucun exemplaire ne lui en a été remis, estimant avoir subi un préjudice "ne serait-ce qu'au niveau des voies de droits qu'il ignorait au moment du dépôt de sa requête de conciliation". On peine à comprendre ce grief du recourant, qui sort par ailleurs manifestement du cadre du litige, dans la mesure où le recourant lui-même a produit la réglementation litigieuse à l'appui de son recours. Son grief relatif à une violation de la LInfo doit ainsi être rejeté, pour autant qu'il soit recevable.</w:t>
      </w:r>
    </w:p>
    <w:p>
      <w:r>
        <w:rPr>
          <w:b/>
        </w:rPr>
        <w:t>E. 4</w:t>
      </w:r>
    </w:p>
    <w:p>
      <w:r>
        <w:t>Le recourant se plaint ensuite d'une violation du principe de la proportionnalité dans l'application des dispositions relatives au retrait de sa place d'amarrage dans le port d'Yvonand. a) Exprimé de manière générale à l'art. 5 al. 2 Cst., le respect de la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p. 84; 142 I 49 consid. 9.1 p. 69). b) Les décisions de retrait contestées, prononcées par l'association intimée, ont été prises sur la base du règlement du port, plus précisément en application de son art. 7, deuxième paragraphe, qui précise que l'autorisation est renouvelée de trois en trois ans, sauf dénonciation par l'Association ou par le bénéficiaire, par lettre recommandée, au plus tard trois mois avant l'échéance, ainsi qu'en application de son art. 18 al. 1, à teneur duquel "l'Association peut en tout temps, moyennant un préavis de 30 jours, retirer l'autorisation à des titulaires enfreignant de manière grave ou répétée le présent règlement". Le chapitre IV du règlement du port traite de l'amarrage des embarcations. Ses art. 30 et 31 ont la teneur suivante: "Art. 30 – Amortisseur Tous les cordages et élingues allant à l'estacade, à la digue, ainsi qu'aux piquets doivent être munis chacun d'un élément amortisseur, fourni par l'Association aux frais du locataire, maintenu en parfait état de fonctionnement en toutes circonstances." Art. 31 – Entretien du matériel d'amarrage Les propriétaires de bateaux amarrés dans le port sont responsables de leurs dispositifs d'amarrage. Les chaînes, cordages et autres amarres ne doivent en aucun cas gêner la navigation. Les propriétaires veillent au bon état de l'ensemble de l'amarrage et signalent au Garde-port les défectuosités qu'ils pourraient constater. Chaque usager est responsable de son matériel d'amarrage individuel et est tenu de le contrôler périodiquement (spécialement en hiver) et de le remplacer, d'entente avec le Garde-port, s'il n'est plus garant d'une sécurité suffisante." Le chapitre V du règlement du port prévoit par ailleurs ce qui suit, à son art. 36: "Art. 36 – Interdictions Il est interdit: a) - de jeter quoi que ce soit dans le port qui puisse le combler, le polluer ou gêner la navigation; b) - de faire des dépôts sur les jetées, murs, estacades, glacis, enrochements et passerelles, ainsi que sur les places à terre; les déchets et ordures doivent être déposés dans les conteneurs prévus à cet effet; c) - d'endommager ou de salir les installations et ouvrages; d) - de vidanger dans le port les coques des embarcations à moteur, en tant qu'il s'agit d'eau mélangée d'huile et de cambouis; e) - de stationner à l'entrée du port; f) - d'amarrer des bateaux aux arbres, mâts, bancs, etc.; g) - de déplacer un amarrage sans l'autorisation du garde-port; h) - d'utiliser, de déplacer ou de lever les amarrages des bateaux appartenant à autrui, de monter à leur bord sans autorisation du propriétaire, sauf pour porter secours à une personne en danger ou pour protéger un bateau contre un risque de détérioration; i) - de gêner ou d'entraver la navigation, volontairement ou par négligence. Lorsqu'une embarcation quitte sa place, seule la bouée reste au mouillage; cependant, les cordes de rappel peuvent être laissées en place; j) - d'établir sans autorisation des passerelles et des échelles d'embarquement, de planter des pilotis ou autres objets; k) - de se baigner, de pratiquer le ski nautique et de faire des démonstrations de bateaux à moteur dans le port; l) - d'utiliser des pneus en guise de pare-battage; m) - d'utiliser abusivement les portes d'eau et d'électricité; n) - les caisses à voiles pour dériveurs ou autres ne doivent pas être déposées avant le 15 mai. Elles seront enlevées pour le 15 octobre au plus tard. L'emplacement est toléré à bien plaire. En aucun cas ces "caisses" seront fixées au sol." L'art. 43 du règlement prévoit enfin que les usagers doivent respecter l'ordre et la propreté du Port. c) En l'espèce, il est établi que le recourant a violé à plusieurs reprises des dispositions réglementaires. Ainsi en janvier 2001, il a violé l'art. 30 du règlement, faute pour les élingues de son embarcation d'avoir été munies de ressorts. En janvier 2014, le Comité du Port a derechef constaté des violations réglementaires, le recourant n'ayant pas respecté l'art. 31 du règlement relatif à l'entretien du matériel d'amarrage, ainsi que l'art. 36 let. c qui a trait à l'endommagement des installations et ouvrages portuaires. En août 2014, le Comité du Port a observé que la bouée de l'embarcation du recourant se trouvait trop éloignée de celle-ci et gênait la navigation sur le chenal, ce qui consacre une violation de l'art. 36 let. i du règlement. En septembre 2018, le Comité a constaté que les amarres du bateau du recourant, mal réglées, avaient causé des dégâts aux caillebottis en acier zingué. En outre, l'amarrage sur la bouée n'était pas correct, et le recourant empruntait sans en demander l'autorisation le matériel de ses voisins, sans le ranger après utilisation. Ce faisant, le recourant a ainsi porté atteinte aux art. 31, 36 let. c et 43 du règlement. Enfin, dans la nuit du 17 au 18 mars 2019, le taquet de fixation sur la proue de l'embarcation du recourant s'est rompu, avec pour conséquence que son bateau s'est retrouvé au milieu du canal. Le recourant soutient certes qu'il s'agirait d'un acte malveillant d'un tiers. L'autorité intimée pouvait toutefois admettre que cette hypothèse était peu vraisemblable, compte tenu des manquements réguliers précédemment constatés en relation avec l'entretien, par le recourant, de ses amarres, ainsi que de la variation constatée du niveau du lac de Neuchâtel. Il paraît peu probable en outre qu'un tiers ait pris le soin de détacher le taquet de l'embarcation du recourant, alors qu'un résultat similaire aurait été obtenu en enlevant simplement les amarres. L'hypothèse la plus plausible était ainsi celle d'un détachement du taquet sur la proue du bateau du recourant en raison d'une trop forte traction des amarres avant. Cette hypothèse est d'autant plus vraisemblable que selon l'attestation de l'Office fédéral de météorologie et de climatologie MétéoSuisse produite par l'autorité en procédure, des rafales de vent de 75 km/h ou plus étaient probables le 17 mars 2019 dans la Commune d'Yvonand. Le recourant a ainsi violé une nouvelle fois l'art. 31 du règlement, respectivement l'art. 36 let. i du règlement. Il résulte de ce qui précède que bien que dûment informé de ses obligations, en particulier relatives aux amarres, le recourant n'a pas pris les mesures idoines pour remédier aux manquements relevés. Bien plus, se sachant déjà sous le coup de la première procédure de retrait d'autorisation d'amarrage, le recourant n'est cependant pas parvenu à amarrer valablement son embarcation, qui s'est détachée et s'est retrouvée au milieu du canal. Au vu de ce qui précède, l'autorité était dès lors fondée à retirer l'autorisation d'amarrage de la place C-36, vu la persistance des manquements observés, et leur gravité, en particulier s'agissant de celui survenu dans la nuit du 17 au 18 mars 2019. Pour toutes ces raisons, les décisions attaquées ne prêtent pas le flanc à la critique. Le grief dirigé contre le caractère disproportionné de la mesure doit être écarté: le recourant a été averti à plusieurs reprises, sans parvenir à mettre un terme aux violations réglementaires reprochées, qui se sont étendues sur des années. Dans ces conditions, et compte tenu des manquements reprochés au recourant dans l'entretien de son embarcation (cf. art. 30 et 31 du règlement), et du peu de cas qu'il fait du port et de ses autres usagers (cf. art. 36 et 43 du règlement), la mesure de retrait d'autorisation litigieuse n'est pas disproportionnée. Le fait que d'autres solutions aient été envisageables - notamment que le recourant ait proposé de mandater un tiers pour prendre soin de son embarcation - , ne suffit pas à rendre disproportionné au point d'apparaître insoutenable le retrait de l'autorisation d'amarrage du recourant. On ne voit en outre pas qu'un simple avertissement amène le recourant à modifier son comportement, dans la mesure où les précédentes mises en demeure adressées par l'autorité intimée n'ont pas eu l'effet escompté. Sur le vu de ce qui précède, le grief de violation du principe de proportionnalité (art. 5 al. 2 Cst.) doit être écarté.</w:t>
      </w:r>
    </w:p>
    <w:p>
      <w:r>
        <w:rPr>
          <w:b/>
        </w:rPr>
        <w:t>E. 5</w:t>
      </w:r>
    </w:p>
    <w:p>
      <w:r>
        <w:t>Dans un dernier moyen, le recourant soutient que la décision de "résilier" sa place d'amarrage revient à l'exclure de l'association, en violation des art. 66 al. 1 et 72 al. 3 CC. Cet argument sort du cadre du litige. Il n'est quoi qu'il en soit pas pertinent dès lors que le recourant n'est pas membre de l'Association intimée.</w:t>
      </w:r>
    </w:p>
    <w:p>
      <w:r>
        <w:rPr>
          <w:b/>
        </w:rPr>
        <w:t>E. 6</w:t>
      </w:r>
    </w:p>
    <w:p>
      <w:r>
        <w:t>Au vu de ce qui précède, les recours contre les décisions attaquées ne peuvent qu’être rejetés et les décisions des 18 septembre 2018 et 26 mars 2019 confirmées. Succombant, le recourant doit assumer un émolument judiciaire, ainsi qu'une indemnité à titre de dépens en faveur de l'Association intimée. La municipalité d'Yvonnand n'ayant pas pris de conclusions,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