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GE.2018.0237 vom 12. Juni 2019</w:t>
      </w:r>
    </w:p>
    <w:p>
      <w:r>
        <w:t>VD Tribunal cantonal, 2019-06-12, FR</w:t>
      </w:r>
    </w:p>
    <w:p>
      <w:r>
        <w:rPr>
          <w:b/>
        </w:rPr>
        <w:t xml:space="preserve">Quelle: </w:t>
      </w:r>
      <w:r>
        <w:t>https://mcp.opencaselaw.ch/entscheid/vd_omni_GE.2018.0237</w:t>
      </w:r>
    </w:p>
    <w:p>
      <w:r>
        <w:t>FR: VD_OMNI GE.2018.0237 du 12 juin 2019</w:t>
      </w:r>
    </w:p>
    <w:p>
      <w:r>
        <w:t>IT: VD_OMNI GE.2018.0237 del 12 giugno 2019</w:t>
      </w:r>
    </w:p>
    <w:p>
      <w:pPr>
        <w:pStyle w:val="Heading2"/>
      </w:pPr>
      <w:r>
        <w:t>Regeste</w:t>
      </w:r>
    </w:p>
    <w:p>
      <w:r>
        <w:t>A.________/Service de l'emploi Contrôle du marché du travail | Recours d'une société de gros-œuvre admonestée par le SDE pour avoir pris à son service un travailleur illégal mis à sa disposition par une autre entreprise (location de personnel à titre occasionnel). Le SDE était fondé à considérer que la recourante était l'employeur de fait de l'ouvrier pris en défaut et qu'elle avait manqué à son devoir de diligence en omettant de contrôler que celui-ci disposait des autorisations nécessaires à exercer une activité lucrative. L'avertissement signifié est donc justifié, de même que la facturation des frais de contrôle occasionnés. Recours rejeté.</w:t>
      </w:r>
    </w:p>
    <w:p>
      <w:pPr>
        <w:pStyle w:val="Heading2"/>
      </w:pPr>
      <w:r>
        <w:t>Erwägungen</w:t>
      </w:r>
    </w:p>
    <w:p>
      <w:r>
        <w:rPr>
          <w:b/>
        </w:rPr>
        <w:t>E. 1</w:t>
      </w:r>
    </w:p>
    <w:p>
      <w:r>
        <w:t>Interjetés en temps utile auprès de l'autorité compétente, les recours satisfont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Le litige porte sur la sommation et les frais infligés à la recourante pour non-respect des procédures applicables à l'engagement de main-d'œuvre étrangère.</w:t>
      </w:r>
    </w:p>
    <w:p>
      <w:r>
        <w:rPr>
          <w:b/>
        </w:rPr>
        <w:t>E. 3</w:t>
      </w:r>
    </w:p>
    <w:p>
      <w:r>
        <w:t>La première décision dont est recours retient que la recourante a occupé à son service, le 11 juin 2018, un travailleur étranger qui n'était pas en possession des autorisations nécessaires délivrées par les autorités compétentes au moment de la prise d'emploi. a)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b) La notion d'employeur au sens du droit des étrangers est une notion autonome qui vise l'employeur de fait et ne se limite pas à celle du droit des obligations (cf.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(cf. ATF 99 IV 110 consid. 1; TF 6B_511/2017 du 16 novembre 2017 consid. 2.1; TF 6B_243/2014 du 15 juillet 2014 consid. 5.3; TF 6B_815/2009 du 18 février 2010 consid. 2.3).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CDAP PE.2018.0369 du 4 mars 2019 consid. 2a/cc et les références citées). c)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(cf. Message du Conseil fédéral du 16 janvier 2002, in : FF 2002 III 3371 p. 3406). Ainsi, l'obligation de diligence qu'impose l'art. 91 LEI au bailleur de services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LEI (TF 2C_357/2009 du 16 novembre 2009 consid. 5.2; CDAP PE.2018.0269 du 21 mars 2019 consid. 3a; CDAP GE.2018.0171 et PE.2018.0330 du 5 février 2019 consid. 2a et les références citées). d) En l'espèce, la recourante argue que l'ouvrier pris en défaut lors du contrôle n'a jamais travaillé pour elle, mais qu'il a toujours eu pour unique employeur la société D.________. Elle expose qu'elle avait été chargée, par l'entrepreneur général, d'effectuer en sous-traitance les travaux de ferraillage sur le chantier et qu'afin de les terminer à temps, elle en aurait ensuite elle-même sous-traité une partie à la société précitée, qui avait choisi seule son employé et en était donc seule responsable. La recourante n'établit pas à satisfaction avoir conclu un contrat de sous-traitance avec D.________, soit un contrat d'entreprise par lequel elle aurait chargé cette société d'effectuer tout ou partie des travaux de ferraillage qu'elle s'était elle-même engagée à réaliser pour le maître principal. En réalité, le procédé choisi s'apparente plutôt à de la location de personnel à titre occasionnel, soit à un contrat par lequel un entrepreneur met à disposition un ouvrier pour une certaine durée. Dans le domaine de la construction en effet, il est relativement courant que l’entrepreneur recoure pour l’exécution de certains travaux à du personnel dont les services lui sont momentanément loués par un autre entrepreneur (cf. notamment CDAP GE.2016.0133 et PE.2016.0339 du 17 janvier 2017 consid. 3b et les références citées). Un bailleur de services au sens de l'art. 12 LSE doit être considéré comme un employeur, sans égard au fait que les travailleurs qu'il loue se soient présentés de leur propre chef ou sur instruction d'un tiers en exécution d'un contrat de location de services (cf. CDAP GE.2018.0171 et PE.2018.0330 du 5 février 2019 consid. 2a; CDAP GE.2017.0160 du 18 décembre 2017 consid. 4a/dd et les références citées). Dans le cas présent, la recourante explique précisément avoir dû demander de l'aide à D.________ pour pouvoir finir ses travaux dans les délais convenus, raison pour laquelle cette société lui avait adressé le travailleur prénommé. Partant, il ne fait aucun doute que la recourante a bénéficié, dans les faits, des services de ce travailleur, lequel a été mis à sa disposition, soit loué ou prêté, afin d'œuvrer pour son compte sur le chantier le jour du contrôle. Quelle que soit la qualification du contrat, il appartenait dès lors au préalable à la recourante de vérifier s'il était autorisé ou non à exercer une activité lucrative en Suisse. Or, la "déclaration de soumission" signée par A.________ et D.________ le 14 mai 2018 (mais produite uniquement à l'appui du recours) n'est pas suffisante à cet égard, puisqu'elle porte uniquement sur la garantie du respect des conditions de salaire et de travail résultant de la convention collective applicable. Pour le reste, il importe peu que le travailleur en cause ait été autorisé, par les autorités genevoises, à travailler pour le compte de D.________ jusqu'à droit connu sur sa demande d'autorisation de séjour. Cette autorisation n'a été délivrée que le 13 juin 2018, soit postérieurement au contrôle de marché du travail effectué le 11 juin 2018, si bien que l'intéressé n'était effectivement pas légitimé à exercer une activité lucrative en Suisse à ce moment-là. Quant à l'ordonnance de non-entrée en matière, rendue le 12 novembre 2018, elle ne sert pas davantage la cause de A.________ puisque, outre le fait qu'elle n'a pas été rendue à l'issue d'une procédure pénale complète et contradictoire, elle cerne uniquement l'employeur de droit et ne libère donc pas la recourante de ses obligations sur le plan administratif (voir notamment CDAP GE.2017.0186 et PE.2017.0449 du 19 juin 2018 consid. 2b; CDAP GE.2017.0195 du 11 juin 2018 consid. 1c; CDAP GE.2017.0160 du 18 décembre 2017 consid. 1b et la référence citée; CDAP PE.2017.0108 du 16 octobre 2017 consid. 3b). Il s'ensuit que l'autorité intimée était fondée à considérer que la recourante était l'employeur de fait du travailleur illégal et qu'elle avait manqué à son devoir de diligence (art. 91 al. 1 LEI), en omettant de contrôler que celui-ci disposait des autorisations nécessaires à exercer une activité lucrative. Pour ces mêmes motifs, l'autorité était donc en droit de lui adresser une menace de sanctions au sens de l'art. 122 al. 2 LEI, soit un avertissement qui ménage les intérêts privés de la société et respecte ainsi le principe de la proportionnalité, quand bien même il s'agissait d'une première infraction (voir en particulier sur cette question l'ATF 141 II 57 consid. 7). La première décision attaquée, intitulée "infraction au droit des étrangers", doit dès lors être confirmée.</w:t>
      </w:r>
    </w:p>
    <w:p>
      <w:r>
        <w:rPr>
          <w:b/>
        </w:rPr>
        <w:t>E. 4</w:t>
      </w:r>
    </w:p>
    <w:p>
      <w:r>
        <w:t>La deuxième décision litigieuse condamne la recourante au paiement des frais de contrôle, par 1'150 francs. a) La loi fédérale du 17 juin 2005 concernant des mesures en matière de lutte contre le travail au noir (LTN; RS 822.41), institue en particulier des mécanismes de contrôle et de répression (cf. art. 1 LTN). L'organe de contrôle cantonal compétent, soit le Service de l'emploi dans le canton de Vaud (cf. art. 72 al. 2 de la loi vaudoise du 5 juillet 2005 sur l'emploi [LEmp; BLV 822.11]), examine le respect des obligations en matière d’annonce et d’autorisation conformément au droit des étrangers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le recours est muet sur la question de la facturation des frais de contrôle. Or, il a été établi précédemment que la recourante a occupé à son service un ressortissant étranger sans autorisation, alors qu'il lui appartenait, en sa qualité d'employeur de fait, de vérifier le statut légal de ce travailleur (cf. consid. 3d supra ). Ce comportement étant constitutif d'une infraction au droit des étrangers et, partant, d'une atteinte au sens de l'art. 6 LTN, c'est à juste titre que l'autorité intimée a, sur le principe, mis à sa charge les frais occasionnés par le contrôle. Pour le surplus, la recourante ne conteste ni le décompte d'heures effectué, qui paraît admissible au regard de la nature de l'affaire, ni le tarif appliqué, qui ne prête pas le flanc à la critique. Il s'ensuit que la seconde décision attaquée, intitulée "facturation des frais de contrôle", s'avère également bien fondée.</w:t>
      </w:r>
    </w:p>
    <w:p>
      <w:r>
        <w:rPr>
          <w:b/>
        </w:rPr>
        <w:t>E. 5</w:t>
      </w:r>
    </w:p>
    <w:p>
      <w:r>
        <w:t>Les considérants qui précèdent conduisent au rejet des recours et à la confirmation des deux décisions attaquées.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