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GE.2018.0185 vom 13. August 2019</w:t>
      </w:r>
    </w:p>
    <w:p>
      <w:r>
        <w:t>VD Tribunal cantonal, 2019-08-13, FR</w:t>
      </w:r>
    </w:p>
    <w:p>
      <w:r>
        <w:rPr>
          <w:b/>
        </w:rPr>
        <w:t xml:space="preserve">Quelle: </w:t>
      </w:r>
      <w:r>
        <w:t>https://mcp.opencaselaw.ch/entscheid/vd_omni_GE.2018.0185</w:t>
      </w:r>
    </w:p>
    <w:p>
      <w:r>
        <w:t>FR: VD_OMNI GE.2018.0185 du 13 août 2019</w:t>
      </w:r>
    </w:p>
    <w:p>
      <w:r>
        <w:t>IT: VD_OMNI GE.2018.0185 del 13 agosto 2019</w:t>
      </w:r>
    </w:p>
    <w:p>
      <w:pPr>
        <w:pStyle w:val="Heading2"/>
      </w:pPr>
      <w:r>
        <w:t>Regeste</w:t>
      </w:r>
    </w:p>
    <w:p>
      <w:r>
        <w:t>A.________/Municipalité d'Yverdon-les-Bains | Le recourant, né en 1972, vit en Suisse depuis 1987 au bénéfice d'une autorisation d'établissement. Il a présenté une demande de naturalisation en décembre 2017 qui a été refusée. Recours rejeté en application de l'ancienne législation tant cantonale que fédérale. L'octroi de la bourgeoisie entre dans les attributions et tâches propres revenant aux communes, pour lesquelles l'autonomie communale est garantie. La municipalité, qui a fondé son refus sur les arriérés d'impôts cumulés par le recourant au moment du dépôt de sa demande (771'252 fr.), n'a pas abusé de son pouvoir d'appréciation en écartant la demande de naturalisation du recourant, nonobstant les importants remboursements déjà effectués.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La décision attaquée a été rendue en application de la loi du 28 septembre 2004 sur le droit de cité vaudois (aLDCV), qui a été abrogée par la loi du 19 décembre 2017 sur le droit de cité vaudois (LDCV; BLV 141.11), entrée en vigueur le 1 er janvier 2018. L'art. 68 LDCV prévoit que l'acquisition et la perte du droit de cité et de la bourgeoisie sont régis par le droit en vigueur au moment où le fait déterminant s'est produit. L’art. 69 al. 1 LDCV dispose que les demandes de naturalisation déposées avant le 1 er janvier 2018 sont traitées conformément aux dispositions de l’ancien droit jusqu’à ce que la décision finale sur l’admission ou le refus de la demande soit prononcée. La modification législative cantonale suit une modification de la législation fédérale. En effet, une nouvelle loi sur la nationalité suisse est entrée en vigueur le 1 er janvier 2018. L'art. 50 de la loi du 20 juin 2014 sur la nationalité suisse (LN; RS 141.0) prévoit que l'acquisition et la perte de la nationalité suisse sont régies par le droit en vigueur au moment où le fait déterminant s'est produit (al. 1) et que les demandes déposées avant l'entrée en vigueur de la présente loi sont traitées conformément aux dispositions de l'ancien droit jusqu'à ce qu'une décision soit rendue (al. 2). L'art. 50 al. 2 LN ne précise pas si le terme "décision" concerne uniquement la première décision ou au contraire toute la chaîne des décisions rendues en cas de recours. Cela étant, dans deux arrêts du 12 février 2018 (1D_5/2017 et 1D_6/2017 consid. 3.1), le Tribunal fédéral semble interpréter l'art. 50 LN en ce sens que l'ancien droit continue à s'appliquer en instance de recours, sans toutefois se prononcer explicitement sur la question. Le Tribunal administratif fédéral en a fait de même sans plus de motivation (cf. arrêts F-6715/2016, F-6714/2016 du 9 mai 2018; F-6326/2016 du 20 avril 2018; F-6741/2016 du 23 mars 2018). La Cour de céans a confirmé cette interprétation dans ses arrêts (cf. CDAP GE.2018.0055 du 29 janvier 2019 consid. 2 et GE.2017.0216 du 11 juin 2018 consid.1b). En l'occurrence, la demande de naturalisation ayant été déposée par le recourant le 20 décembre 2017, il y a lieu d'appliquer l'ancien droit pour juger de la présente cause.</w:t>
      </w:r>
    </w:p>
    <w:p>
      <w:r>
        <w:rPr>
          <w:b/>
        </w:rPr>
        <w:t>E. 3</w:t>
      </w:r>
    </w:p>
    <w:p>
      <w:r>
        <w:t>a) De jurisprudence constante, l'octroi de la bourgeoisie entre dans les attributions et tâches propres revenant aux communes, pour lesquelles l'autonomie communale est garantie (art. 50 al. 1 Cst., 139 Cst.-VD et 2 al. 2 let. g de la loi du 26 février 1956 sur les communes [LC; BLV 175.11]; CDAP GE.2016.0029 du 15 août 2016 consid. 2 et GE.2015.0002 du 1 er juin 2015 consid. 2).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w:t>
      </w:r>
    </w:p>
    <w:p>
      <w:r>
        <w:rPr>
          <w:b/>
        </w:rPr>
        <w:t>E. 3.1</w:t>
      </w:r>
    </w:p>
    <w:p>
      <w:r>
        <w:t>p. 101s., traduit in : JdT 2014 I 211; 138 I 305 consid. 1.4.2 p. 311, traduit in : JdT 2013 I 53; ATF 137 I 235 consid. 2.5.2 p. 240s., traduit in : JdT 2011 I 183). b)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w:t>
      </w:r>
    </w:p>
    <w:p>
      <w:r>
        <w:rPr>
          <w:b/>
        </w:rPr>
        <w:t>E. 4</w:t>
      </w:r>
    </w:p>
    <w:p>
      <w:r>
        <w:t>aLDCV s'apprécie en particulier en fonction du respect des obligations légales ou contractuelles du candidat et que l'inscription à l'Office des poursuites constitue un critère d'appréciation du respect de ces obligations (cf. Bulletin du Grand Conseil, septembre 2004, p. 2800). b) En l'espèce, s'il est manifeste que le recourant est bien intégré dans la communauté suisse (cf. art. 14 let. a aLN et 8 ch. 5 aLDCV) – ce que l'autorité intimée ne conteste ni dans sa décision, ni dans le cadre de la présente procédure – il est néanmoins établi qu'au moment de sa demande de naturalisation, il était débiteur d'arriérés d'impôts d'un montant total de 771'252 fr. 40. Il n'est à cet égard pas pertinent de savoir que cette dette importante résulte d'une " régularisation de sa situation fiscale complexe ". La situation du recourant n'est pas différente de celles d'autres entrepreneurs ou propriétaires immobiliers du canton, qui sont à jour avec le paiement de leurs impôts. Ainsi, force est de constater que le recourant ne remplit pas les conditions prévues par les art. 14 let. c aLN et 8 ch. 3 et 4 aLDCV. Selon le Tribunal fédéral, il n'est pas arbitraire de refuser la naturalisation à un candidat qui ne respecte pas ses obligations de droit public, en cumulant notamment des dettes fiscales (cf. TF 1D_6/2016 du 5 janvier 2017 consid. 4 et 1D_3/2012 du 29 avril 2013 consid. 2.6). Le fait que le recourant s'acquitte de versements conséquents pour rembourser sa dette d'impôt, qui s'élevait, au mois de mars 2018 à 500'437 fr. 35, est certes louable, mais ne suffit pas à admettre qu'il satisfait désormais aux conditions d'obtention de la naturalisation. Par ailleurs, l'autorité était tenue d'examiner si ces conditions étaient remplies au moment du dépôt de la demande. Le recourant ne prétend pas non plus avoir remboursé l'intégralité de ses arriérés d'impôt (cf. à ce sujet CDAP GE.2005.0209 du 7 février 2008 consid. 6). Le recourant se prévaut des directives du Secrétariat d'Etat aux migrations (SEM), en vigueur jusqu'au 31 décembre 2017, selon lesquelles " si le recourant a conclu un accord de paiement avec les autorités fiscales, le SEM lui demande de prouver qu'il a respecté à trois reprises au moins l'échéance de paiement convenue (…) ". Ces directives ne sont toutefois pas contraignantes pour les autorités communales, qui peuvent les utiliser tout au plus comme un élément d'appréciation dans le cadre de l'examen de la demande de naturalisation. Au regard de ces éléments, l'autorité intimée n'a pas abusé de son pouvoir d'appréciation en écartant la demande de naturalisation du recourant. Au surplus, au vu des montants dus par le recourant à l'office d'impôt, l'autorité intimée pouvait estimer que les conditions de la demande ne seraient pas remplies dans un délai d'un an au plus, ceci malgré les revenus importants du recourant, et renoncer à suspendre la procédure, conformément à l'art. 14 al. 5 a LDCV. Si le recourant poursuit les efforts consentis pour assainir sa situation, il pourra néanmoins déposer une nouvelle demande prochainement, dès que les conditions en seront remplies.</w:t>
      </w:r>
    </w:p>
    <w:p>
      <w:r>
        <w:rPr>
          <w:b/>
        </w:rPr>
        <w:t>E. 5</w:t>
      </w:r>
    </w:p>
    <w:p>
      <w:r>
        <w:t>Il résulte des considérants qui précèdent que le recours doit être rejeté et la décision attaquée confirmée. Les frais du présent arrêt sont mis à la charge du recourant, qui succombe (art. 49 al. 1, 91 et 99 LPA-VD). L'autorité intimée n'étant pas assistée d'un mandataire professionnel,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