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GE.2018.0113 vom 27. September 2018</w:t>
      </w:r>
    </w:p>
    <w:p>
      <w:r>
        <w:t>VD Tribunal cantonal, 2018-09-27, FR</w:t>
      </w:r>
    </w:p>
    <w:p>
      <w:r>
        <w:rPr>
          <w:b/>
        </w:rPr>
        <w:t xml:space="preserve">Quelle: </w:t>
      </w:r>
      <w:r>
        <w:t>https://mcp.opencaselaw.ch/entscheid/vd_omni_GE.2018.0113</w:t>
      </w:r>
    </w:p>
    <w:p>
      <w:r>
        <w:t>FR: VD_OMNI GE.2018.0113 du 27 septembre 2018</w:t>
      </w:r>
    </w:p>
    <w:p>
      <w:r>
        <w:t>IT: VD_OMNI GE.2018.0113 del 27 settembre 2018</w:t>
      </w:r>
    </w:p>
    <w:p>
      <w:pPr>
        <w:pStyle w:val="Heading2"/>
      </w:pPr>
      <w:r>
        <w:t>Regeste</w:t>
      </w:r>
    </w:p>
    <w:p>
      <w:r>
        <w:t>A.________/Service juridique et législatif | Recours contre un refus d'indemnité LAVI, assorti d'un refus d'assistance judiciaire. Même si le recourant a déjà bénéficié du soutien d’un mandataire durant la procédure pénale, il ne s’agit pas dans la présente procédure d’établir des faits mais plutôt d’interpréter ces faits afin de déterminer l’importance de la faute commise. Cette interprétation est complexe et son résultat peut conduire à de graves conséquences financières pour le recourant. A cet égard, l’assistance d’un mandataire professionnel est nécessaire. En refusant d'accorder l'assistance judiciaire, l'autorité intimée a méconnu les particularités du cas présent et abusé de son pouvoir d'appréciation.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critique tout d'abord la décision attaquée en ce sens qu’elle lui a refusé l’octroi de l’assistance judiciaire pour la procédure devant l’autorité intimée. Seule doit être examinée la question de la désignation d'un avocat d'office, dès lors que, pour le reste, la procédure est en principe gratuite (cf. art. 16 al. 1 de l’ancienne loi fédérale du 4 octobre 1991 sur l’aide aux victimes d'infractions [aLAVI; RO 1992 2465], applicable en l'espèce, cf. consid. 3 ci-après, la gratuité étant d'ailleurs également prévue par la nouvelle loi; ATF 122 II 211 consid. 4b p. 219). a) Selon l'art. 29 al. 3 de la Constitution fédérale de la Confédération suisse du 28 avril 1999 (Cst; RS 101),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b) Dans le cas d’espèce, l'autorité intimée n'a pas examiné la question de l'indigence du recourant. Le tribunal de céans, par décision du 12 juin 2018, a constaté l'indigence du recourant, de sorte qu'il faut considérer que cette condition était réalisée également devant l'instance précédente, le dossier ne faisant pas état d'une détérioration de la situation financière du recourant. L'autorité intimée ne s'est pas non plus prononcée sur les chances de succès de la demande du recourant. Dès lors que le recourant a déjà eu une fois gain de cause devant le tribunal de céans, on ne peut pas soutenir que sa demande est dépourvue de chance de succès. Cette condition est ainsi également réalisée. L'autorité intimée s'est en revanche prononcée sur la question de la complexité de la cause, estimant que la sauvegarde des droits du recourant ne requérait pas qu’il soit assisté par un mandataire professionnel par-devant elle. Elle relève notamment, d’autre part, que la procédure est simple et rapide et, d’autre part, que le recourant a déjà bénéficié du soutien d’un mandataire durant la procédure pénale et qu’il a donc déjà été représenté pour l’établissement des faits dans ce cadre. L’autorité intimée ne peut pas être suivie. En premier lieu, il faut souligner qu’il ne s’agit pas dans la présente procédure d’établir des faits mais plutôt d’interpréter ces faits afin de déterminer l’importance de la faute commise par le recourant. Cette interprétation est complexe et son résultat peut conduire à de graves conséquences financières pour le recourant. A cet égard, l’assistance d’un mandataire professionnel est nécessaire. D'ailleurs, le recourant avait été mis au bénéfice de l'assistance judiciaire dans le cadre de la procédure de recours contre la décision de la SUVA. Les autorités genevoises n'avaient alors pas considéré que le fait qu'une procédure pénale ait déjà eu lieu rendait l'assistance judiciaire superflue dans une procédure subséquente (cf. décision du pouvoir judiciaire du canton de Genève du 7 juillet 2010). De plus, les notions juridiques à appliquer ne sont pas simples, preuve en est que la première décision de l’autorité intimée concernant le recourant a été annulée par le Tribunal de céans. Sur ce plan également, l’assistance d’un mandataire professionnel est nécessaire. Au vu de ces éléments, la complexité de l'affaire rendait en l'espèce l'assistance d'un mandataire professionnel. En refusant d'accorder l'assistance judiciaire, l'autorité intimée a méconnu les particularités du cas présent et abusé de son pouvoir d'appréciation (cf. la formulation potestative de l'art. 18 al. 2 LPA-VD). Il se justifie ainsi de réformer la décision attaquée en ce sens que l'assistance judiciaire est accordée au recourant avec effet dès le 2 septembre 2010, étant précisé que seule la désignation d'un conseil d'office entre en considération. Le tribunal n'étant pas en mesure de statuer à ce sujet au vu du dossier, il convient de renvoyer l'affaire à l'autorité de première instance afin qu'elle fixe l'indemnité d'office à allouer pour la procédure de première instance, à partir du 2 septembre 2010.</w:t>
      </w:r>
    </w:p>
    <w:p>
      <w:r>
        <w:rPr>
          <w:b/>
        </w:rPr>
        <w:t>E. 3</w:t>
      </w:r>
    </w:p>
    <w:p>
      <w:r>
        <w:t>Le Conseil fédéral fixe les montants maximums et minimums des indemnités. Il peut édicter d’autres prescriptions relatives au calcul du montant de l’indemnité." 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(ATF 128 II 49 consid. 3.1 p. 52). Dans les autres cas, la faute ne peut justifier qu'une réduction de l'indemnité, et cela seulement s'il s'agit d'une faute qualifiée, suffisamment grave au regard de l'art. 13 al. 2 aLAVI (cf. Peter Gomm / Dominik Zehntner, Kommentar zum Opferhilfegesetz, Bundesgesetz vom 4. Oktober 1991 über die Hilfe an Opfer von Straftaten, Berne 2005, n° 31ss ad art. 13 ; aussi Peter Gomm / Dominik Zehntner, Kommentar zum Opferhilfegesetz, Bundesgesetz vom 23. März 2007 über die Hilfe an Opfer von Straftaten, Berne 2009, n° 6 ss ad art. 27 LAVI, mais concernant la jurisprudence rendue sous l'empire de l'aLAVI) . Dans son principe, cette disposition correspond à l'art. 44 al. 1 CO, mais elle n'a pas la même portée, en ce sens que la victime échappe à toute réduction si elle n'a commis qu'une faute moyenne ou légère ( ATF 123 II 210 consid. 3b p. 214, 121 II 369 consid. 3c/aa p. 373 in fine, consid. 4c p. 375; arrêt TF 1C_48/2011 du 15 juin 2011). Quant à la réparation morale, la jurisprudence précise clairement qu'une réduction du montant octroyé peut intervenir en cas de faute non seulement grave, mais aussi moyenne, voire légère ( ATF 128 II 49 consid. 4.2 p. 54 et les arrêts cités). Dans un arrêt du 10 octobre 2006 (affaire 1A.113/2006), concernant des faits survenus dans une discothèque, l’auteur de l’infraction, tenant une bouteille de bière à la main qui s'était brisée, avait blessé la victime à l'œil gauche. La victime avait finalement perdu l'usage de cet organe, et conservait une cicatrice sous la paupière inférieure. Le Tribunal fédéral a relevé qu’il ressortait de l'arrêt attaqué que le recourant (la victime) avait contribué à la réaction de l'auteur en bousculant violemment celui-ci à plusieurs reprises, sans raison apparente, alors que l'ambiance était déjà tendue, l'auteur ayant déjà giflé l'une des personnes présentes. Le recourant s'était donc mis lui-même, sans raison valable, dans une situation conflictuelle qui avait dégénéré. Son attitude avait eu une influence certaine sur les événements qui avaient suivis, et cette faute ne pouvait être qualifiée de légère. La cour cantonale n'avait donc pas abusé de son pouvoir d'appréciation en réduisant de moitié les indemnités allouées, tant pour le dommage que pour le tort moral (consid. 2.3). Dans une affaire concernant une personne qui avait spontanément et librement pris le risque de se rendre dans un pays en guerre (Irak), faisant fi des informations aux voyageurs diffusées par le Département fédéral des affaires étrangères déconseillant un tel voyage, le Tribunal fédéral a considéré que l'Instance LAVI était fondée à retenir une faute grave susceptible d'emporter réduction de l'indemnité et de la réparation du tort moral. En revanche, une réduction de moitié était excessive. Il fallait prendre en compte le fait que l'intéressé s'était rendu en Irak notamment pour des raisons familiales justifiées. Cette circonstance justifiait de réduire dans une moins forte mesure que ne l'avait fait l'Instance LAVI, soit à raison d'un quart au lieu de moitié, l'indemnité et la réparation morale (arrêt TF 1C_48/2011 du 15 juin 2011). Dans un arrêt du 29 juin 2007 (OH.2006.00002), le Tribunal des assurances sociales du Canton de Zurich a estimé qu’une personne qui avait constaté depuis l’intérieur d’un bar qu’une bagarre avait lieu, après un match de football, entre des supporters anglais et les employés d’un snack turc avait commis une faute concomitante au sens de l’art. 13 al. 2 aLAVI en sortant dans la rue avant la fin de l’affrontement, ce qui justifiait une réduction de 50% de l’indemnité (cf. consid. 6.6). Le tribunal de céans a aussi admis la faute concomitante dans le cas d’une personne qui avait invectivé son agresseur depuis son balcon et avait sciemment décidé de descendre au pied de son immeuble avec une bouteille en verre dans l'intention d'en découdre avec lui, et ce, dans le seul et unique but de régler un différend portant sur une livraison défectueuse de stupéfiants. L'intéressé reconnaissait également avoir lancé une bouteille de bière en direction de son agresseur après avoir reçu un violent " coup de boule " de celui-ci et l'avoir poursuivi jusqu'au moment où il avait fait demi-tour et s'était dirigé vers lui avec un couteau à la main (cf. GE.2011.0182 du 30 août 2012, confirmé par le Tribunal fédéral par arrêt du 3 septembre 2013 dans l'affaire 1C_503/2012). Le tribunal a considéré que si ces circonstances n’étaient pas de nature à interrompre le rapport de causalité adéquate entre l'infraction, qualifiée de délit manqué de meurtre, et le dommage, elles devaient en revanche conduire à la réduction du montant alloué pour tort moral au recourant dès lors que son comportement apparaissait à tout le moins comme partiellement fautif, contribuant dans une mesure importante à créer ou, à tout le moins, à aggraver le dommage subi au sens de l'art. 13 al. 2 aLAVI. Dans l’ATF 128 II 49, concernant le cas d'un individu qui avait provoqué, par des agressions verbales, la rixe au cours de laquelle il avait été blessé et qui avait, de plus, aggravé la tension en allant chercher un fusil - non chargé - afin de l'exhiber à son adversaire dont il avait constaté l’ivresse, le Tribunal fédéral a estimé que la faute n’était pas grave au point d’interrompre le lien de causalité et de justifier le refus de tout versement au titre du tort moral. De manière plus générale, le Tribunal fédéral a admis que la participation volontaire à une activité illicite, comportant le risque certain d'actes de violence et de propre justice, est une circonstance que l’autorité peut en soi opposer au requérant en tant que faute concurrente ou acceptation du risque. Cette situation se présente par exemple pour les personnes s'adonnant au commerce et à la consommation de la drogue. Dans ce contexte, le mode de vie de la victime peut être pris en compte, à titre de faute concurrente pour réduire l'indemnité, mais non pour la supprimer (ATF 121 II 369 consid. 4a p. 374). c) S'agissant de la perte de gain, il faut que l'atteinte à l'intégrité physique ou psychique ait pour conséquence une diminution de la capacité de travail productif pour entraîner un dommage économique qui oblige l'auteur de l'acte au sens de l'art. 41 CO (arrêt TF 1A.168/2002 du 14 janvier 2003 consid. 2.3 et 2.5.1). A cet égard, il faut opérer une distinction entre, d'une part, l'incapacité de travail (totale ou partielle) temporaire (ou perte de gain actuelle) et d'autre part, l'incapacité permanente (ou atteinte à l'avenir économique). La perte de gain actuelle est celle que la victime subit entre l'infraction et le jour du jugement. Elle doit donc pouvoir obtenir le remboursement du gain qu'elle aurait obtenu par son activité professionnelle et dont elle a été effectivement privée. Quant à l'atteinte à l'avenir économique, elle survient lorsque la victime est devenue définitivement invalide et peut ainsi être désavantagée sur le marché du travail. Il faut dès lors estimer la perte de gain future, versée en général sous forme de capital, en tenant compte du revenu de la victime, du degré et de la durée de l'incapacité (cf. Stéphanie Converset, Aide aux victimes d'infractions et réparation du dommage, thèse Genève 2009, p. 199 et les références citées). Selon la jurisprudence du Tribunal fédéral, lorsque le dommage à réparer consiste dans une perte de gain, l'application correcte du droit fédéral nécessite les opérations suivantes, dans l'ordre qui suit (ATF 128 II 49 consid. 3.2 p. 52 s.; arrêt 1A.252/2000 du 8 décembre 2000 consid. 2 et 3, in ZBl 102/2001 p. 486 ss): 1) évaluer l'atteinte à l'avenir économique selon les principes de l'art. 46 CO. Il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l'assurance-accidents, mais elle n'est pas liée par eux; 2) imputer, sur la perte de gain brute, les rentes d'invalidité, en particulier celle de l'assurance-accidents; 3) calculer le montant du dommage en capitalisant la perte de gain nette; 4) appliquer l'art. 3 OAVI, en particulier la formule de l'art. 3 al. 3, pour déterminer le montant de l'indemnité brute d'après le montant du dommage et les revenus de la victime; la rente de l'assurance-accidents fait partie des revenus déterminants (cf. art. 12 al. 1 in fine LAVI) et entre donc en considération aussi à ce stade; 5) évaluer et appliquer le taux de réduction consécutif à la faute concomitante, selon l'art. 13 al. 2 LAVI; 6) enfin, déduire d'éventuelles autres prestations que la victime reçoit pour réparation du dommage, mais pas la rente de l'assurance-accidents, puisque celle-ci a déjà été prise en considération dans le calcul du dommage, puis à titre de revenu déterminant (art. 14 al. 1, 1re et 2e phrase, LAVI). Dans l’ATF 128 II 49 consid. 3.2 p. 52 s, le Tribunal fédéral a annulé l’arrêt de l’instance inférieure au motif que le raisonnement suivi ne respectait pas, même approximativement, le schéma rappelé ci-dessus. En particulier, il a précisé qu’il était incorrect d'envisager une indemnisation calculée d'après la perte de gain brute, puis réduite en fonction de la faute concomitante, et réduite, encore, des prestations de l'assurance-accidents. En effet, ce procédé pouvait aboutir à refuser toute prestation en raison de cette faute, alors que celle-ci, si elle n'était pas lourde au point d'interrompre le rapport de causalité adéquate entre l'infraction et le dommage, ne devait entraîner qu'une réduction (cf. aussi à ce propos, Gomm/Zehntner, 2005, op. cit., n° 44 ad art. 13 LAVI). d) Quant à la réparation du tort moral, son calcul a donné lieu à une abondante jurisprudence.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arrêt TF 6B_1218/2013 du 3 juin 2014 consid. 3.1.1 et les références; GE.2012.0196 du 30 janvier 2013 consid. 3c et les références). Eu égard au présent cas, il est utile de précise que le caractère subsidiaire des prestations servies par la collectivité publique en matière d'aide aux victimes d'infractions (art. 14 al. 1 aLAVI) impose de prendre en compte le fait que la victime a déjà pu bénéficier d'une réparation de son préjudice immatériel sur la base de l'art. 24 LAA (voir GE.2011.0182 du 30 août 2012 consid. 7d; Gomm/Zehntner, 2005, op. cit., n° 70 ad art. 14 LAVI). L'Etat n'intervient que dans la mesure où l'auteur de l'infraction ou les assurances, sociales ou privées, ne réparent pas effectivement rapidement et de manière suffisante le dommage subi (Message du Conseil fédéral du 25 avril 1990 in FF 1990 II 909 ss, spéc. 923 ss; ATF 124 II 8 consid. 3d/bb, JT 1999 V 43).</w:t>
      </w:r>
    </w:p>
    <w:p>
      <w:r>
        <w:rPr>
          <w:b/>
        </w:rPr>
        <w:t>E. 4</w:t>
      </w:r>
    </w:p>
    <w:p>
      <w:r>
        <w:t>a) S'agissant de l'établissement des faits, la jurisprudence se réfère à la pratique relative au retrait du permis de conduire: afin d'éviter des décisions contradictoires, l'autorité administrative ne doit pas s'écarter sans raisons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p. 13, 115 Ib 163 consid. 2a p. 164,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109 Ib 203 consid. 1 p. 204). Dans ces circonstances, l'autorité administrative peut s'écarter de l'état de fait retenu au pénal en procédant à sa propre administration des preuves (GE.2014.0194 du 23 juillet 2015). En revanche, compte tenu de la spécificité de la procédure fondée sur la LAVI et de la liberté d'examen dont dispose l'autorité d'indemnisation, cette dernière n'est pas liée en droit par le prononcé du juge pénal. Dans le cadre de la LAVI, l'autorité alloue une indemnité fondée sur un devoir d'assistance de l'Etat (ATF 123 II 425 consid. 4c p. 431), en vertu de règles pour partie spécifiques, et doit dès lors se livrer à un examen autonome de la cause. Le Tribunal fédéral a ainsi affirmé que l'instance LAVI peut faire abstraction d'une transaction judiciaire passée entre la victime et l'accusé. A cette occasion, il a considéré, en appliquant également par analogie la jurisprudence relative aux autorités administratives prononçant un retrait du permis de conduire, que l'instance LAVI n'est pas liée par le prononcé pénal pour les questions purement juridiques, sans quoi elle méconnaîtrait la liberté d'application du droit qui lui est reconnue (cf. ATF 124 II 8 consid. 3d/aa p. 13/14 et la référence à l'ATF 109 Ib 203 consid. 1 p. 204).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 En définitive, la jurisprudence retient que l'autorité LAVI est en principe liée par les faits établis au pénal, mais non par les considérations de droit ayant conduit au prononcé civil (cf. également dans ce sens Peter Gomm, Einzelfragen bei der Ausrichtung von Entschädigung und Genugtuung nach dem Opferhilfegesetz, Solothurner Festgabe zum Schweizerischen Juristentag 1998, p. 673-690, 683 ss; Alexandre Guyaz, L'indemnisation du tort moral en cas d'accident, SJ 2003 II p. 1-48, n. 101 p. 26). L'instance LAVI peut donc, en se fondant sur l'état de fait arrêté au pénal, déterminer le montant de l'indemnité allouée à la victime sur la base de considérations juridiques propres (ATF 124 II 8 consid. 3d/cc p. 15). Elle peut, au besoin, s'écarter du prononcé civil s'il apparaît que celui-ci repose sur une application erronée du droit. Cela peut certes conduire à une réduction du montant alloué par le juge pénal, mais peut aussi, dans d'autres cas, permettre à l'autorité LAVI de s'écarter d'une indemnité manifestement insuffisante (ATF 129 II 312 consid. 2.8 p. 317). b) En l’occurrence, un certain nombre de faits ont été établis par le jugement pénal du 3 février 2010. Ce jugement n’a toutefois pas établi tous les faits pertinents pour l’appréciation de l’affaire sous l’angle de l'aLAVI. En effet, le jugement pénal traite essentiellement de la culpabilité de B.________ (dont il souligne d’ailleurs qu’elle est gravissime). Il ne qualifie cependant pas la faute commise par le recourant, qui ne faisait pas l'objet du litige pénal. Il ne retient d’ailleurs pas expressément que le recourant a commis une faute. Ensuite, le Tribunal fédéral, statuant sous l’angle des assurances sociales, a retenu que le comportement du recourant pouvait justifier une réduction des prestations requises. Cela étant, il ne s’est pas non plus prononcé au sujet d’une éventuelle faute du recourant. En effet, sur le plan des assurances, plus particulièrement de l’art. 49 al. 2 de l'ordonnance du 20 décembre 1982 sur l’assurance-accidents (OLAA; 832.202), il n'est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Jean-Maurice Frésard / Margit Moser-Szeless, L'assurance-accidents obligatoire, in: Soziale Sicherheit, SBVR vol. XIV, 3 e éd. 2016, n. 418 et 419). C’est ainsi dans le cadre de la procédure LAVI qu’il revient pour la première fois à une autorité de qualifier la faute du recourant. Dans ce contexte, le tribunal de céans a estimé nécessaire de préciser certains éléments et de compléter par le biais d'une audience d'instruction l’état de fait établi par l’autorité pénale.</w:t>
      </w:r>
    </w:p>
    <w:p>
      <w:r>
        <w:rPr>
          <w:b/>
        </w:rPr>
        <w:t>E. 5</w:t>
      </w:r>
    </w:p>
    <w:p>
      <w:r>
        <w:t>a) En l'espèce, dans son arrêt du 8 août 2017 (dans la cause GE.2017.0021), le tribunal a considéré que l’autorité intimée pouvait être suivie lorsqu’elle estimait que le recourant avait commis une faute concomitante. Cet élément ne suffisait toutefois pas pour refuser toute indemnisation du dommage. Comme cela ressortait clairement de la jurisprudence, le calcul de l’indemnisation de la perte de gain en particulier devait se faire en suivant des étapes bien précises. Dans le cadre de ce calcul, l’existence d’une faute concomitante pouvait jouer un rôle et entraîner, cas échéant, selon sa qualification, une suppression de toute indemnisation. Cela impliquait néanmoins que la faute puisse être qualifiée de grave au point qu’elle interrompe le rapport de causalité adéquate entre l'infraction et le dommage. Or l’autorité intimée s’était limitée à dire que la faute était concomitante, ce qui n’était à l'évidence pas suffisant sur le plan de la qualification. Il convenait donc d'annuler la décision attaquée sur ce point et de renvoyer le dossier à l'autorité intimée pour qu'elle qualifie la faute du recourant et qu'elle procède ensuite au calcul du montant du dommage selon les étapes prévues par la jurisprudence. Par le même arrêt, le tribunal a également renvoyé le dossier à l'autorité intimée pour qu'elle procède au calcul du montant dû au titre du tort moral. Dans la décision rendue suite à l’arrêt de renvoi précité, décision qui fait l’objet du présent recours, l’autorité intimée a retenu que la faute concomitante du recourant devait être qualifiée de grave et qu’il se justifiait dès lors de procéder à une réduction de 50% au moins de l’indemnité pour tort moral et de refuser toute indemnisation du dommage matériel. Il convient à ce stade d'examiner si la qualification de la faute du recourant retenue par l'autorité intimée est soutenable (consid. 5b ci-après), puis d'examiner ses conséquences sur le calcul du tort moral (consid. 6a et b ci-après) et de l'indemnisation du dommage (consid. 6c ci-après). b) L’autorité intimée estime que le recourant a commis une faute grave au motif qu’il aurait provoqué un duel et se serait ainsi livré à une activité à haut risque. Si on veut définir précisément le terme de duel, il faut retenir qu’il s’agit d’un combat singulier entre deux adversaires, dont l'un a demandé à l'autre réparation d'une offense par les armes, qui sont assistés chacun de deux témoins. Au sens plus large, on peut englober dans cette définition divers types de combat entre deux adversaires. Le duel présuppose néanmoins une volonté concordante des deux parties de s’affronter et d’en découdre physiquement (cf. à cet égard le cas de duel cité par l’autorité intimée lors de l’audience du 3 septembre 2018). En l’espèce, tant au vu des faits retenus par l’autorité pénale que des constatations et explications ressortant de l’audience du 3 septembre 2018, il n’est pas possible de retenir que le recourant voulait affronter en duel B.________. Il apparaît bien plutôt qu’il souhaitait ardemment que le litige se résolve à l'amiable, par des excuses de l'intéressé, ou à tout le moins, par une solution de compromis. Le recourant a été en particulier convaincant lorsqu’il a expliqué qu’une situation tendue - dans laquelle des menaces très graves comparables à la présente affaire avaient été proférées à son encontre par B.________ - avait pu se résoudre sans violence quelques années auparavant. Il a également été convaincant lorsqu’il a expliqué que c’était dans le souci de ménager la susceptibilité de B.________, en d’autres termes dans l’intention d’éviter que la situation ne dégénère, qu'il était sorti du bar avec lui et qu'à l'intérieur dudit établissement B.________ n'avait manifesté aucun sentiment hostile à son égard. Il pouvait donc raisonnablement penser, au vu du comportement de l'intéressé, que ce dernier était calmé et était disposé à discuter sereinement. Enfin, contrairement à ce que soutient l’autorité intimée, il ne ressort pas de l’arrêt du Tribunal fédéral du 4 juillet 2012 que le recourant aurait admis qu’il savait que B.________ voulait de toute manière en découdre physiquement. C’est ainsi à tort qu'elle a retenu que le recourant avait provoqué un duel justifiant de considérer que la faute était grave au point qu’elle interrompait le rapport de causalité adéquate entre l'infraction et le dommage. Il apparaît en outre qu’il n’est pas conforme à la jurisprudence de considérer que, lorsque la victime est impliquée dans une bagarre, la faute est systématiquement grave au point qu’elle interrompe le rapport de causalité adéquate entre l'infraction et le dommage. Il ressort en effet des précédents arrêts cités au considérant 3 ci-dessus que, dans plusieurs situations dans lesquelles les victimes avaient eu un comportement provocateur ou agressif, le tribunal a considéré que ces circonstances n’étaient pas de nature à interrompre le rapport de causalité adéquate entre l'infraction et le dommage. Par ailleurs, lors de l’audience du 3 septembre 2018, interrogée sur la question de savoir s’il était possible que seule une faute légère soit retenue à l’encontre d’une victime dans un cas de bagarre, l’autorité intimée a admis que cela était envisageable. Elle a cité à titre d’exemple le cas d'une personne qui adresserait des insultes à son agresseur et qui pourrait ainsi ne commettre qu’une faute légère. Au vu des divers cas de figure énumérés ci-dessus, la conduite du recourant doit être considérée comme moins fautive que celle des victimes précitées, qui ont néanmoins reçu une indemnité. Le comportement adopté lors du 18 décembre 2008 n’est pas constitutif en tant que tel d’une faute grave au point qu’elle ait interrompu le rapport de causalité adéquate entre l'infraction et le dommage. Il convient même de souligner que le comportement du recourant apparaît avoir été plus adéquat que celui des victimes précitées (cf. consid. 3). En effet, contrairement à de nombreux cas précités, il ne s’est rendu coupable ni de provocations ni d’insultes (l’arrêt pénal relevant expressément ce dernier point). Quant à la phrase du recourant invitant B.________ à le tuer s’il le voulait, il tombe sous le coup du bon sens et de l’expérience de la vie que, dans des circonstances tendues, l’ironie ou la boutade peuvent justement être un moyen de faire baisser la tension et de dédramatiser la situation. Le recourant a de plus exposé de façon convaincante qu’il avait accepté de sortir du bar dans une volonté d’apaisement, ce qui ne peut que partiellement lui être reproché. Certes, avec le recul, il apparaît que l’idée de sortir de l'établissement s'est avérée être mauvaise, mais cela n’était pas évident sur le moment. Il ne faut pas céder à la solution de facilité consistant à considérer après coup que les événements survenus pouvaient être anticipés avec certitude. On peut d’ailleurs aussi imaginer que le fait de sortir aurait pu permettre au recourant de discuter en privé avec B.________ et de le calmer. Le recourant, qui connaissait B.________ et sa famille depuis longtemps et avait déjà été menacé par lui, mais jamais agressé, pouvait raisonnablement penser que le conflit se résoudrait à l’amiable. B.________ n’avait par ailleurs jamais été violent envers d’autres personnes non plus, sachant qu’il n’avait pas d’inscription à son casier judiciaire. Le recourant indique d’ailleurs, de manière tout à fait plausible, que s’il avait pensé un seul instant qu’il existait un risque réel de se faire poignarder, il ne serait jamais sorti de l'établissement. Sans doute pouvait-il envisager qu'une altercation survienne, mais pas qu'elle dégénère au point de recevoir des coups de couteau potentiellement mortels. En définitive, compte tenu de toutes les circonstances du cas d’espèce, la faute du recourant doit être qualifiée de légère et justifier une réduction de 20% au plus des prestations pouvant lui être allouées au sens de la LAVI.</w:t>
      </w:r>
    </w:p>
    <w:p>
      <w:r>
        <w:rPr>
          <w:b/>
        </w:rPr>
        <w:t>E. 6</w:t>
      </w:r>
    </w:p>
    <w:p>
      <w:r>
        <w:t>a) Pour ce qui concerne la réparation du tort moral, il faut tout d’abord relever que le recourant a reçu de la SUVA sur la base de l'art. 24 LAA un montant de 27'720 fr. (50% de l’atteinte à l’intégrité estimée à 55'440 fr.). Selon la jurisprudence (cf. consid. 3e ci-dessus), cette indemnité perçue par l’intéressé conformément à l’art. 24 al. 1 LAA s’apparente à une réparation du tort moral. Dans son recours du 16 mai 2018, le recourant allègue que la SUVA avait estimé l’atteinte à l’intégrité physique à 55'440 fr. Il estime ainsi avoir droit à une indemnité pour tort moral au sens de la LAVI d’un montant de 27'720 fr. Tout au plus ce montant pourrait selon lui être pondéré de 20% pour faute concomitante, ce qui donnerait un montant de 22'173 fr. Cela étant, compte tenu du fait que le montant maximal de l'indemnité LAVI ne peut pas excéder 100'000 fr. et de ses prétentions en matière de dommage matériel, le recourant conclut à ce qu'une indemnité totale de 100'000 fr. lui soit versée. Dans la décision attaquée, l’autorité intimée a procédé au calcul de l’indemnité pour tort moral, comme suit: " - que sans minimiser les souffrances d'A.________, les cas dans lesquels un montant de l'ordre de CHF 15'000.- a été arrêté, paraissent dénoter d'une cruauté et d'une violence physique qui n'ont pas existé à un tel degré au cours des actes subis par l'intéressé, - qu'en 2008, l'autorité de céans a accordé la somme de CHF 6'000.- à un jeune homme blessé par plusieurs coups de couteau, notamment à la hauteur de l'abdomen et à la jambe gauche, qui a dû subir une opération et dont la vie a été mise en danger mais qui n'a pas eu de séquelles physiques et qui a également souffert de stress post-traumatique (décision du 11 décembre 2008 ; LAVI 796/2005), - qu'en 2012, sous l'empire de la nouvelle LAVI, l'autorité de céans a accordé la somme de CHF 7'000.- à un homme blessé à l'arme blanche non loin de la carotide, qui a subi deux opérations chirurgicales dont l'une en urgence, qui a souffert de séquelles physiques en raison de la paralysie totale du muscle trapèze gauche et qui a également subi un état de stress post-traumatique (décision du 18 juin 2012 ; LAVI 1491/2011), - qu'au vu des lésions subies, de la jurisprudence rendue dans des cas similaires et de l'ensemble des circonstances du cas, la somme à lui octroyer à titre d'indemnité pour tort moral, en équité et à la lumière des critères de l'ancienne LAVI, ne serait pas supérieure à CHF 8'000.- ". Sur cette base, l'autorité intimée a estimé qu’il fallait réduire l’indemnité pour tort moral qu’elle aurait à verser de minimum 50% pour aboutir à un montant maximum de 4'000 fr. Dès lors que l'indemnité perçue de la SUVA est supérieure au montant qu’elle aurait alloué, elle estime qu’il n’y a pas lieu de verser une somme supplémentaire. b) Dans un récent arrêt (GE.2017.0227 du 7 mai 2018), la CDAP a analysé plusieurs situations concernant des lésions corporelles provoquées en particulier par des coups de couteau. En rapport avec ces cas, le tribunal a constaté que la fourchette d'indemnisation du tort moral s'élevait entre 3'000 et 10'000 francs. On peut citer notamment les cas suivants: - en 2012, l'autorité d'indemnisation vaudoise a alloué un montant de 7'000 fr. à un homme de 42 ans qui s'était fait trancher la gorge avec un tesson de bouteille à la sortie d'un bar. Il s'agissait d'agression gratuite, qui avait mis en danger la vie de la victime, qui en gardait une importante cicatrice. L'agression avait entraîné de longs arrêts de travail ainsi qu'un traumatisme psychique attesté (décision du 14 mars 2012, LAVI 1472/2001). - en 2014, l'autorité d'indemnisation lucernoise a alloué un montant de 10'000 fr. à un individu qui s'était fait tirer dessus à la tête et au genou, avec des cicatrices cachées par les cheveux, qui avait subi un trouble de stress post-traumatique, des soins ambulatoires et dû suivre une psychothérapie, et subi une capacité de travail fortement réduite après une année (LU OHFG 2013/34 du 28 avril 2014; cf. Meret Baumann / Blanca Anabitarte / Sandra Müller Gmünder, La pratique en matière de réparation morale à titre d'aide aux victimes, in: Jusletter 8 juin 2015, p. 25); - en 2014, l'autorité d'indemnisation bâloise a alloué un montant de 10'000 fr. à une victime d'une tentative de meurtre perpétrée par des coups de couteau. La victime avait subi des lésions cutanées à la partie supérieure du bras et sur le dos, deux semaines de soins hospitaliers suivies d'une prise en charge ambulatoire pédopsychiatrique, avec des séquelles psychiques incertaines (BL 13-25 et 13-26 du 4 février 2014, cf. Baumann/Anabitarte/Müller Gmünder, op. cit., p.25); - dans un arrêt 1A.20/2002 du 4 juillet 2002, le Tribunal fédéral a admis le montant de 10'000 fr. alloué par l'instance LAVI à une victime poignardée à l'abdomen qui n'avait pas subi de dommage permanent à la santé, mais qui avait subi une opération chirurgicale et une hospitalisation de dix jours et qui présentait un syndrome post-traumatique de stress. Quant à l'arrêt GE.2017.0227 du 7 mai 2018, il concernait une victime qui avait reçu un coup de couteau dans le cou ayant potentiellement mis sa vie en danger, qui en avait conservé une cicatrice inesthétique et douloureuse et qui, au niveau psychologique, avait subi un stress post-traumatique nécessitant un traitement médicamenteux, deux séjours en hôpital psychiatrique et de nombreux arrêts de travail. Pour le tribunal, la situation de la recourante était assimilable aux cas les plus graves dans lesquels un montant de 10'000 fr. avait été alloué aux victimes puisque, comme dans les cas décrits, les blessures découlant de coups de feu ou de couteau avaient occasionné des soins, des conséquences psychologiques importantes et avaient eu des impacts sur la capacité de travail. C'était donc un tel montant qui devait lui être alloué. En relation avec ce qui précède, il faut aussi tenir compte du fait que le plafonnement des montants qui peuvent être alloués à titre de réparation morale en application du nouveau droit (art. 23 al. 2 LAVI) a eu pour effet une réduction des sommes allouées à ce titre, que la CSOL-LAVI estime à environ 30 à 40% dans ses Recommandations (cf. CDAP GE.2017.0087 du 27 septembre 2017, GE.2015.0099 du 3 novembre 2015 consid. 3c). Certaines des décisions précitées, rendues sous le nouveau droit, ne peuvent ainsi pas être directement comparées au présent cas, soumis à l'ancien droit. Cela étant, il n'est pas nécessaire d'examiner si le montant de 8'000 fr. retenu par l'autorité intimée au titre du tort moral est raisonnable. Au vu de la casuistique exposée ci-dessus, il est en effet clair que le montant alloué au titre du tort moral ne pourrait de toute manière pas dépasser le montant de 27'720 fr. Or le recourant a perçu de la SUVA une indemnité de ce montant qui, conformément à l’art. 24 al. 1 LAA, s’apparente à une réparation du tort moral. Il ne peut dès lors plus prétendre au versement d'une indemnité pour tort moral sur la base de la LAVI. c) Pour ce qui a trait à l'indemnisation du dommage matériel, l'autorité intimée a considéré que l'on était en présence d'une faute grave au point qu’elle interrompait le rapport de causalité adéquate entre l'infraction et le dommage. Partant, elle a refusé toute indemnisation du dommage à ce titre. Or, comme exposé ci-dessus, c'est à tort que la faute du recourant a été qualifiée de grave. Le tribunal de céans a retenu que la faute devait être qualifiée de légère et entraîner une réduction de 20% au plus de l'indemnisation du dommage. Il convient donc d'annuler la décision attaquée sur ce point et de renvoyer le dossier à l'autorité intimée pour qu'elle procède au calcul du montant du dommage selon les étapes exposées ci-dessus (selon l'ATF 128 II 49 consid. 3.2 p. 52 s).</w:t>
      </w:r>
    </w:p>
    <w:p>
      <w:r>
        <w:rPr>
          <w:b/>
        </w:rPr>
        <w:t>E. 7</w:t>
      </w:r>
    </w:p>
    <w:p>
      <w:r>
        <w:t>a) Au vu des considérants qui précèdent, le recours doit être partiellement admis, la conclusion du recourant tendant à ce que l'Etat de Vaud soit condamné au paiement d'une indemnité de 100'000 fr. ne lui étant pas allouée. La décision du 16 avril 2018 doit être annulée et le dossier sera renvoyé à l'autorité de première instance pour nouveau calcul dans le sens des considérants, tant de l'assistance judiciaire que de l'indemnisation pour le dommage matériel subi par le recourant. b) Il n'y a pas lieu de percevoir des frais de justice (cf. art. 16 al. 1 aLAVI; ATF 122 II 211 consid. 4b p. 219). c) Vu l'issue du litige, le recourant a droit à une indemnité légèrement réduite à titre de dépens pour l'intervention de son avocat, conformément à l'art. 55 al. 1 LPA-VD, à la charge de l'autorité intimée. Compte tenu de ses ressources, le recourant a été mis au bénéfice de l'assistance judiciaire par décision du 12 juin 2018 avec effet au 20 avril 2018. L'avocat qui procède au bénéfice de l'assistance judiciaire dans le canton de Vaud a droit au remboursement de ses débours et à un défraiement équitable (art. 122 al. 1 let. a du code de procédure civil du 19 décembre 2008 [CPC; RS 272]), qui est fixé en considération de l'importance de la cause, de ses difficultés, de l'ampleur du travail et du temps consacré par le conseil juridique commis d'office (art. 2 al. 1, 1ère phrase, du règlement vaudois du 7 décembre 2010 sur l'assistance judiciaire en matière civile [RAJ; RSV 211.02.3], applicable par renvoi de l'art. 18 al. 5 LPA-VD). A cet égard, le juge apprécie l'étendue des opérations nécessaires pour la conduite du procès (art. 2 al. 1, 2 e phrase RAJ; cf. aussi ATF 117 Ia 22 consid. 3a ). Il applique le tarif horaire de 180 fr. (art. 2 al. 1 let. a) pour l'avocat, respectivement de 110 fr. pour l'avocat stagiaire (art. 2 al. 1 let. b RAJ). En l’espèce, la liste des opérations et débours produite par Me Emery le 11 septembre 2018 englobe les opérations effectuées depuis le 12 octobre 2012 alors que la décision d'octroi de l'assistance judiciaire dans la présente affaire remonte au 20 avril 2018. Seules les opérations effectuées et les débours à partir de cette date seront dès lors prises en considération. Ainsi, le nombre d'heures consacrées à cette affaire depuis le 20 avril 2018 s'élève à 8 h 40 pour Me Emery et à 29 h pour son stagiaire. Il s'agit là d'un nombre d'heures total manifestement excessif pour ce qui concerne l'activité du stagiaire, notamment si l'on considère que le recours reprend pour l'essentiel les termes du recours déposé dans la précédente phase de procédure (affaire GE.2017.0021). Il faut ajouter que, même s'il fallait tenir compte du fait que c'est un autre stagiaire qui a repris le traitement de l'affaire, il ne revient pas au client de supporter les frais de formation de l'avocat-stagiaire, sachant en particulier que les indemnités ne sont pas destinées à rémunérer le temps dont le stagiaire a eu besoin pour se familiariser de manière générale avec le domaine en question. Il se justifie dans ces conditions de réduire à 10 h le temps consacré par le stagiaire de Me Emery à ce dossier. En l'occurrence, l'indemnité de Me Emery peut être arrêtée, pour ses activités à compter du 20 avril 2018, à 3'019 fr. 35, correspondant à 2'660 fr. d'honoraires (1'100 fr. pour l'activité du stagiaire,1'560 fr. pour l'activité de Me Emery), 143 fr. 50 de débours et 215 fr. 85 de TVA (7,7% à partir du 1 er janvier 2018), que l'on peut arrondir à 3'020 francs. De cette somme, il y a lieu de déduire le montant perçu à titre de dépens par le recourant. L'indemnité de conseil d'office est supportée provisoirement par le canton (cf. art. 122 al. 1 let. a CPC, applicable par renvoi de l'art. 18 al. 5 LPA-VD). Le recourant est toutefois rendu attentif au fait qu'il est tenu de rembourser le montant ainsi avancé dès qu'il sera en mesure de le faire (art. 123 al. 1 CPC, applicable par renvoi de l'art. 18 al. 5 LPA-VD). Il incombe au Service juridique et législatif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