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GE.2018.0086 vom 12. Dezember 2018</w:t>
      </w:r>
    </w:p>
    <w:p>
      <w:r>
        <w:t>VD Tribunal cantonal, 2018-12-12, FR</w:t>
      </w:r>
    </w:p>
    <w:p>
      <w:r>
        <w:rPr>
          <w:b/>
        </w:rPr>
        <w:t xml:space="preserve">Quelle: </w:t>
      </w:r>
      <w:r>
        <w:t>https://mcp.opencaselaw.ch/entscheid/vd_omni_GE.2018.0086</w:t>
      </w:r>
    </w:p>
    <w:p>
      <w:r>
        <w:t>FR: VD_OMNI GE.2018.0086 du 12 décembre 2018</w:t>
      </w:r>
    </w:p>
    <w:p>
      <w:r>
        <w:t>IT: VD_OMNI GE.2018.0086 del 12 dicembre 2018</w:t>
      </w:r>
    </w:p>
    <w:p>
      <w:pPr>
        <w:pStyle w:val="Heading2"/>
      </w:pPr>
      <w:r>
        <w:t>Regeste</w:t>
      </w:r>
    </w:p>
    <w:p>
      <w:r>
        <w:t>A.________/Service de l'emploi Contrôle du marché du travail, Service de la population (SPOP) | Travailleurs mis à disposition d'une société locataire de services par un contrat de prêt de main d'oeuvre. Contrôle révélant que ces travailleurs ne bénéficiaient pas des autorisations de séjour et de travail nécessaires. Sommation prononcée à l'encontre de la société locataire de services et frais de contrôle mis partiellement à sa charge. Recours de la société contre ces deux décisons. Violation du devoir de diligence, la société locataire de services, assimilée à un employeur selon l'art. 91 LEtr, ayant omis de contrôler les titres de séjour des travailleurs en question ou de se renseigner auprès des autorités compétentes. Proportionnalité de la sanction admise. Frais du contrôle confirmés dans la mesure où ils ont fait l'objet d'une répartition entre la recourante et le bailleur de services. Recours rejeté et décisions confirmées.</w:t>
      </w:r>
    </w:p>
    <w:p>
      <w:pPr>
        <w:pStyle w:val="Heading2"/>
      </w:pPr>
      <w:r>
        <w:t>Erwägungen</w:t>
      </w:r>
    </w:p>
    <w:p>
      <w:r>
        <w:rPr>
          <w:b/>
        </w:rPr>
        <w:t>E. 1</w:t>
      </w:r>
    </w:p>
    <w:p>
      <w:r>
        <w:t>Avant d'engager un étranger, l'employeur doit s'assurer qu'il est autorisé à exercer une activité lucrative en Suisse en examinant son titre de séjour ou en se renseignant auprès des autorités compétentes.</w:t>
      </w:r>
    </w:p>
    <w:p>
      <w:r>
        <w:rPr>
          <w:b/>
        </w:rPr>
        <w:t>E. 2</w:t>
      </w:r>
    </w:p>
    <w:p>
      <w:r>
        <w:t>La recourante conteste également la décision du 2 mars 2018 de l'autorité intimée qui met à sa charge les frais du contrôle effectué le 6 novembre 2017 (recours GE.2018.0086).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822.11.1) prévoit à son art. 44 que les personnes contrôlées n’ayant pas respecté leurs obligations en matière d’annonce et d’autorisation visées à l’art. 6 LTN s’acquittent d’un émolument d’un montant de 100 fr. par heure. d) Dans un arrêt GE.2009.0070 du 9 octobre 2009, la Cour de céans a jugé que lorsqu'un contrôle concerne plusieurs entreprises, il n'est pas possible d'en facturer la totalité des frais à la seule entreprise qui se trouve en situation irrégulière. A défaut, on permettrait à l'autorité intimée, si elle facture des frais à plusieurs contrevenants différents lors du même contrôle, de prélever plusieurs fois le même montant, ce qui serait contraire au principe de la couverture des coûts (v. en outre arrêt GE.2014.0010 du 25 février 2015). e) En l'espèce, la recourante fait valoir des moyens similaires à ceux qu'elle développe dans son premier recours; elle tente de se décharger de sa responsabilité sur l'entreprise bailleur de service. Cette argumentation doit être écartée, on l'a vu, et la recourante doit être considérée comme étant en infraction au regard du droit pertinent, notamment au regard du droit des étrangers, notamment en violant son devoir de diligence au regard de l'art. 91 LEtr. Pour le surplus, à l'issue du complément d'instruction, il ressort du dossier que la recourante n'a pas supporté l'entier des frais de contrôle liés à l'infraction constatée, puisque l'entreprise bailleur de service s'est également vu adresser une facturation à ce titre . En effet, l'autorité intimée a indiqué avoir facturé à la recourante les opérations en lien avec le contrôle sur place, recouvrant les frais liés aux relations de travail contrôlées, et à E.________ les frais découlant du temps consacré à l'instruction administrative vis-à-vis de cette société. Aucun montant n'a ainsi été prélevé à double, ce qu'il n'y a pas lieu de mettre en doute. Dans une écriture de son conseil du 30 novembre 2018, la recourante suggère néanmoins une autre répartition, E.________ devant prendre à sa charge une part lourde des frais. La décision attaquée et la répartition qu'elle opère (compte tenu des décisions notifiées par ailleurs à E.________) ne sont toutefois pas critiquables; la recourante doit en effet en premier lieu et sur le principe assumer les opérations concernant le contrôle individuel de sa propre entreprise, à savoir le contrôle in situ, la collaboration avec les autorités de police, l'instruction (examen de pièces, notamment), les vérifications auprès des instances concernées, ainsi que la rédaction de courriers et du rapport qui la concerne. Par ailleurs, le montant des frais facturés échappe également à la critique. La seconde décision du 2 mars 2018 doit dès lors être confirmée également, ce qui conduit au rejet du second recours. 3. Les considérants qui précèdent conduisent au rejet des recours et à la confirmation des décisions attaquées. La recourante, qui succombe, supportera les frais de justice des deux causes jointes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