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GE.2018.0064 vom 7. März 2019</w:t>
      </w:r>
    </w:p>
    <w:p>
      <w:r>
        <w:t>VD Tribunal cantonal, 2019-03-07, FR</w:t>
      </w:r>
    </w:p>
    <w:p>
      <w:r>
        <w:rPr>
          <w:b/>
        </w:rPr>
        <w:t xml:space="preserve">Quelle: </w:t>
      </w:r>
      <w:r>
        <w:t>https://mcp.opencaselaw.ch/entscheid/vd_omni_GE.2018.0064</w:t>
      </w:r>
    </w:p>
    <w:p>
      <w:r>
        <w:t>FR: VD_OMNI GE.2018.0064 du 7 mars 2019</w:t>
      </w:r>
    </w:p>
    <w:p>
      <w:r>
        <w:t>IT: VD_OMNI GE.2018.0064 del 7 marzo 2019</w:t>
      </w:r>
    </w:p>
    <w:p>
      <w:pPr>
        <w:pStyle w:val="Heading2"/>
      </w:pPr>
      <w:r>
        <w:t>Regeste</w:t>
      </w:r>
    </w:p>
    <w:p>
      <w:r>
        <w:t>A.________, B.________/Direction de la sécurité et de l'économie, POLICE CANTONALE | Distribution de tracts par des membres d'une association pour la protection de la dignité et du bien-être des animaux à proximité d'un cirque à Lausanne. Dénonciation à l'autorité pénale de trois membres. Libération de la poursuite pénale au motif qu'une autorisation n'était pas nécessaire. Requête de ceux-ci pour que soit constaté "le droit de distribuer des tracts pour le droit des animaux et la fin du spécisme sur le domaine public". Refus de la Direction de la sécurité et de l'économie. Recours à la CDAP de deux membres de l'association. Existence d'un intérêt digne de protection des recourants à obtenir une décision en constatation sur le droit à distribuer des tracts sur le domaine public (consid. 1). Distribution de tracts sur le domaine public constituant en principe un usage commun du domaine public non soumis à autorisation. Distinction avec une manifestation ou un usage restreignant d'autres usages du domaine public soumis à autorisation par le RGP-Lausanne lorsque la distribution s'accompagne par exemple de l'installation de stands, de l'usage de mégaphones ou de banderoles. Pas de distinction à faire quant au contenu du tract (consid. 2). Recours admis et décision réformée.</w:t>
      </w:r>
    </w:p>
    <w:p>
      <w:pPr>
        <w:pStyle w:val="Heading2"/>
      </w:pPr>
      <w:r>
        <w:t>Erwägungen</w:t>
      </w:r>
    </w:p>
    <w:p>
      <w:r>
        <w:rPr>
          <w:b/>
        </w:rPr>
        <w:t>E. 1</w:t>
      </w:r>
    </w:p>
    <w:p>
      <w:r>
        <w:t>Il convient d'abord d'examiner la recevabilité des recours. L'autorité intimée fait valoir que le mandataire des recourants ne disposerait pas d'une procuration. Elle soutient en outre que le courrier du 7 mars 2018 de la Direction de la sécurité et de l'économie ne constituerait pas une décision susceptible de recours (art. 3 de la loi du 28 octobre 2008 sur la procédure administrative [LPA-VD; BLV 173.36]). a) L’un et l’autre recours, joints pour les besoins de l’instruction, ont été déposés en temps utile. Une procuration était jointe aux recours, de sorte que le pouvoir de représentation de leur mandataire, de surcroît désigné en tant que défenseur d'office dans le cours de la procédure, ne peut guère être contesté. Sur cet aspect, le moyen soulevé par l’autorité intimée ne peut ainsi qu’être écarté. b) L’autorité intimée conteste avoir rendu une décision sujette à recours. Elle évoque d’ailleurs un précédent – soit l'arrêt GE.2014.0201 cité sous let. A ci-dessus –  dans lequel l'autorité intimée, qui était en l'espèce l'E.________ avait défendu la même position, soit le fait qu’elle avait donné un renseignement à l’association C.________ et n’avait pas rendu de décision; la CDAP avait confirmé ce point de vue mais le Tribunal fédéral (arrêt 1C_113/2015 du 18 septembre 2015) a annulé l’arrêt cantonal, le considérant comme arbitraire. On extrait ce qui suit de cet arrêt: « 2.2. A teneur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 Cette disposition définit la notion de décision de la même manière que l'art. 5 al. 1 de la loi fédérale sur la procédure administrative (PA; RS 172.021). La notion de décision vise donc tout acte individuel et concret d'une autorité, qui règle de manière unilatérale et contraignante des droits ou des obligations ( ATF 135 II 38 consid. 4.3 p. 45). En d'autres termes, constitue une décision un acte étatique qui touche la situation juridique de l'intéressé, l'astreignant à faire, à s'abstenir ou à tolérer quelque chose, ou qui règle d'une autre manière obligatoire ses rapports avec l'Etat ( ATF 135 II 22 consid.</w:t>
      </w:r>
    </w:p>
    <w:p>
      <w:r>
        <w:rPr>
          <w:b/>
        </w:rPr>
        <w:t>E. 1.2</w:t>
      </w:r>
    </w:p>
    <w:p>
      <w:r>
        <w:t>p. 24). En revanche, de simples déclarations, comme des opinions, des communications, des prises de position, des recommandations et des renseignements n'entrent pas dans la catégorie des décisions, faute de caractère juridique contraignant (arrêt 8C_220/2011 consid. 4.1.2 in SJ 2013 I 18). 2.3. En l'espèce, le Tribunal cantonal a considéré en substance que la lettre du 8 octobre 2014 constituait un renseignement au sujet du régime juridique applicable à la distribution de tracts publicitaires sur le domaine public en ville de Vevey et non pas une demande d'autorisation; la lettre litigieuse n'avait pas pour effet de créer, modifier ou supprimer un rapport de droit entre l'administration et le citoyen, ni même de constater formellement l'existence, l'inexistence ou l'étendue d'un tel droit; elle ne faisait que renseigner la recourante sur une pratique administrative, en réponse à une demande d'information. L'instance précédente a ainsi jugé que la lettre n'était pas une décision au sens de l'art. 3 LPA/VD. La cour cantonale perd cependant de vue qu'il ressort expressément de la lettre litigieuse que la recourante ainsi que "les membres de l'association "C.________" doivent obtenir une autorisation de distribution de flyers sur le domaine public moyennant une demande préalable". La lettre du 8 octobre 2014 constate ainsi formellement l'existence d'une obligation, à savoir l'obligation de demander une autorisation de distribution de tracts sur le domaine public. Le courrier en question représente donc une mesure prise par une autorité dans un cas d'espèce, en application du droit public, et ayant pour objet de constater l'existence d'une obligation, au sens de l'art. 3 al. 1 let. b LPA/VD. Quant à la lettre de la recourante du 29 septembre 2014, elle doit être qualifiée de demande de constatation de non-soumission à autorisation. La recourante avait en effet exposé avoir besoin de voir confirmé par l'autorité son droit de distribuer des tracts à but idéal sur le domaine public, afin d'être sûre de ne pas recevoir d'amende pour cette activité. Contrairement à ce qu'a retenu la cour cantonale, la lettre litigieuse n'a pas eu pour seul objet de renseigner la recourante sur une pratique administrative; elle lui a imposé l'obligation de déposer une demande d'autorisation. Le courrier du 8 octobre 2014 consacre ainsi un rapport juridique obligatoire et contraignant entre l'autorité et l'administrée. La qualification de renseignement ou d'information opérée par le Tribunal cantonal est donc en contradiction manifeste avec la situation effective puisqu'elle fait fi de l'obligation de demande d'autorisation contenue dans le courrier litigieux. L'arrêt attaqué viole par conséquent le droit cantonal de façon insoutenable en tant qu'il déclare le recours de la recourante irrecevable, au motif que la lettre du 8 octobre 2014 n'est pas une décision sujette à recours. » L’autorité intimée, qui mentionne ce précédent, fait toutefois valoir que la situation est différente dans la présente cause. A ses yeux, contrairement à ce qui faisait l’objet de la cause GE.2014.0201 où l’autorité attaquée constatait la nécessité d’une autorisation préalable s’agissant de la distribution de tracts sur le domaine public, l’acte du 7 février 2018 ne contiendrait rien de tel, mais seulement des renseignements sur l’exercice des droits fondamentaux et préciserait qu’il n’est pas possible de délivrer, de manière générale et abstraite, une forme de dispense d’autorisation. La position de l’autorité intimée ne peut toutefois être suivie. Il résulte en effet de l’ensemble des circonstances et des échanges de correspondances intervenus entre les parties que les recourants demandaient une décision en constatation, souhaitant plus précisément que l’autorité intimée confirme que la distribution de tracts sur le domaine public ne nécessitait aucune décision préalable. C’est en ce sens qu’il fallait comprendre les démarches des recourants, parfois maladroites, ce qui correspond en outre aux conclusions prises dans leur acte de recours. Au surplus, le courrier du 7 mars 2018 précité doit quant à lui être compris comme un refus d’une telle décision en constatation; au-delà de sa formulation, il signifie en effet clairement que la distribution de tracts, même à but idéal, nécessite bien une autorisation ou suppose à tout le moins une demande préalable d’autorisation (au motif, apparemment, que l’action de distribution envisagée pourrait être qualifiée de manifestation). Dans cette mesure, il s’agit bien en l’occurrence d’une constatation portant sur l’existence ou l’inexistence d’un droit, en l’occurrence le droit de distribuer des tracts sur le domaine public et ses modalités. c) On observe encore que les recourants avaient clairement un intérêt digne de protection à obtenir une telle constatation. En effet, la demande d’une autorisation préalable (en particulier les demandes ayant trait à des manifestations) présente une certaine lourdeur; par ailleurs, en ne présentant pas une telle demande, ils sont susceptibles de s’exposer à une sanction pénale. Le moins que l’on puisse dire est que la situation n’est pas très claire puisque l’ordonnance de classement de la Commission de police précise qu’une autorisation n’était pas nécessaire, alors que le courrier du 7 mars 2018 indique ou du moins laisse entendre le contraire. d) Il convient ainsi d’entrer en matière sur le fond.</w:t>
      </w:r>
    </w:p>
    <w:p>
      <w:r>
        <w:rPr>
          <w:b/>
        </w:rPr>
        <w:t>E. 2</w:t>
      </w:r>
    </w:p>
    <w:p>
      <w:r>
        <w:t>L’objet de la contestation porte sur la distribution de tracts sur le domaine public, par des membres de l’association C.________ (ce qui constitue bien une situation concrète, qui n’a pas à être réglée par une norme générale et abstraite); il n’est au surplus pas contesté que la distribution se faisait à titre individuel et que, en outre, elle ne s’appuyait pas sur un stand, n’était pas soutenue par l’usage de mégaphones ou de banderoles. Il est établi également que le message que souhaitait transmettre les recourants était de nature idéal. Au surplus, les parties sont divisées sur la nature de l’usage en cause. Pour les recourants, il s’agit d’un usage commun du domaine public, un tel usage ne nécessitant aucune autorisation particulière. Pour l’autorité intimée, la situation est incertaine et dépend des circonstances; et, suivant celles-ci, « il se peut qu’une autorisation soit nécessaire, celle-ci ne pouvant être analysée que de cas à cas. C’est à l’autorité qu’il appartient d’effectuer cette analyse et de se déterminer. […] Une autorisation générale et abstraite ne tiendrait précisément pas compte des circonstances […] » (réponse de l’autorité intimée, chiffre 2.3.1). En substance, l’autorité intimée exige donc bien une demande d’autorisation préalable, ne serait-ce que pour vérifier si une autorisation est nécessaire, au motif, implicitement, que l’usage envisagé pourrait être considéré comme un usage accru (voire comme une manifestation) et non pas commun. a) On relève tout d’abord que la notion d’usage commun du domaine public relève du droit cantonal, voire communal. En l’occurrence, cette notion apparaît notamment aux art. 81 s. et 85 ss du règlement général de police de la Commune de Lausanne du 27 novembre 2001, en vigueur dès le 1 er mai 2003 (ci-après: RGP). L’art. 82 al. 1 RGP soumet à autorisation toute utilisation de nature à restreindre le commun usage; on peut en déduire plus généralement que l’usage accru du domaine public est soumis à autorisation (sous réserve cas échéant de dispositions contraires: art. 85 al. 4 RGP). L’art. 41 RGP soumet en particulier à autorisation « les manifestations publiques », soit notamment les manifestations prenant place sur le domaine public. b) Même si le RGP traite expressément de certaines situations, il ne les traite pas toutes; dès lors, la pratique, comme le juge, sont appelés à se référer à la doctrine et à la jurisprudence pour déterminer les contours respectifs des notions d’usage commun et d’usage accru, l’enjeu principal étant dans la règle la nécessité ou non d’obtenir une autorisation. L’usage commun (ou normal) peut être simultanément exercé par un grand nombre de personnes (se déplacer à pied, à vélo, en voiture, entretenir une conversation, se promener, par exemple). Ce critère de simultanéité implique en somme que l’usage en cause n’empêche pas un autre usage normal du domaine public. On y ajoute parfois le critère de la conformité à l’affectation; mais il faut comprendre ici cette affectation comme très ouverte, comme générale (et non pas nécessairement comme réservée aux seuls déplacements; sur les questions qui précèdent voir Moor/Bellanger/Tanquerel, Droit administratif III, 2 e éd. Berne, 2018, p. 692 ss); certes, on peut imaginer que la voie publique soit réservée aux déplacements (art. 84 RGP), mais cela ne vaut pas pour l’ensemble du périmètre du domaine public, réglé à l’art. 81 ss RGP. L’usage accru, au contraire, implique une forme d’occupation temporaire de l’espace public (par opposition à une occupation permanente, impliquant un usage privatif). Constituent ainsi des usages accrus, selon la jurisprudence, l’installation de stands (à des fins idéales ou commerciales) ou de terrasses de cafés-restaurants sur le domaine public. Il en va de même de toutes sortes de manifestations impliquant une occupation de celui-ci, tels que des cortèges, défilés, rassemblements de protestation ou autres (Moor/Bellanger/Tanquerel , cité plus haut, p. 696 ss). La jurisprudence s’est par ailleurs montrée hésitante sur diverses configurations, au point de laisser fréquemment ouverte la question de la nature, usage commun ou usage accru, de l’utilisation en cause. Tel est le cas tout d’abord d’activités de nature idéale, telle que la récolte de signatures pour une initiative ou un référendum sur le domaine public (ATF 135 I 302, 308 s.; en l’occurrence, l’arrêt retient que la juridiction cantonale n’a commis aucun arbitraire en considérant que la récolte de signatures sur le domaine public, sans l’installation de stands, relevait de l’usage commun). Les mêmes hésitations concernent des activités lucratives (celles de prostituées: ATF 101 I a 473, 477) ou encore celles de la scientologie (ATF 126 I 133; en l’occurrence, la distribution d’imprimés publicitaires, traitée comme activité économique, a été considérée comme un usage accru et soumise à autorisation). La distribution de tracts elle-même, à but idéal, a fait l’objet d’assez nombreux précédents; le plus célèbre, l’arrêt Aleinick (ATF 96 I 586, 591), a, voici près de 50 ans, laissé ouverte la question de la qualification d’une telle utilisation du domaine public. Il a cependant relevé, après avoir souligné que l’affaire en cause avait trait à la liberté d’expression, que « en général, l’exercice de cette liberté ne comporte pas de risques tels qu’il faille le subordonner à une autorisation préalable, même s’il requiert la mise à contribution du domaine public ». Depuis lors, la jurisprudence a parfois abordé le problème sous un autre angle, pour retenir que les libertés publiques (et notamment les libertés idéales) donnaient un droit conditionnel à obtenir un droit d’usage du domaine public (voir à ce propos Moor/Bellanger/Tanquerel, cité plus haut, p. 715 ss). En l’occurrence, la question est différente puisque les recourants demandent à bénéficier du régime juridique applicable à l’usage commun (conformément aux principes usuels de liberté, d’égalité et de gratuité); le principe de liberté implique notamment qu’aucun titre juridique n’est nécessaire pour exercer l’usage commun (au contraire de ce qui prévaut pour l’usage accru). c) En définitive, l’autorité intimée estime ne pas pouvoir être en mesure de constater que la distribution de tracts à but idéal peut intervenir sans autorisation préalable; elle estime en effet que les conditions concrètes de la distribution peuvent la conduire à retenir la nécessité d’une autorisation. Par prudence, elle semble donc retenir de manière générale l’exigence d’une demande d’autorisation, pour lui permettre de statuer en connaissance de cause; elle souhaite aussi s’assurer du fait que les organisateurs ont ou n’ont pas en vue la mise sur pied d’une manifestation au sens de l’art. 41 RGP. d) Dans un obiter dictum de l’arrêt déjà cité,a Cour de céans s’est prononcée dans le même sens que l’arrêt Aleinick (arrêt GE.2014.0201 déjà cité, au consid. 2): « La distribution de tracts politiques, ou à but purement idéal (en faveur de la protection de la nature, des animaux, etc.), sur une place publique ou dans des rues piétonnes, par une personne seule, qui n'installe pas de stand et qui ne cherche pas à engager la discussion avec les passants en vue de leur offrir des prestations, est une action qui ne requiert en principe pas d'autorisation. Dans la mesure où l'on ne vise pas à créer un attroupement ni à provoquer des discussions trop animées dans la rue, on ne va pas au-delà de l'usage commun (ordinaire) du domaine public, qui est accessible à tous et n'est pas réglementé, contrairement à l'usage commun accru (cf. ATF 135 I 302 consid. 3.2; 126 I 133 consid. 4c; André Grisel, Traité de droit administratif, Neuchâtel 1984, vol. II p. 548; […]). […] Il aurait pu y être indiqué, pour que les renseignements fussent complets, qu'un autre régime s'appliquait lorsque le texte a une valeur idéale, exprimant des opinions politiques, religieuses, philosophiques, etc., sans viser un but commercial, puisque sa distribution peut être compatible avec l'usage commun du domaine public, non soumis à autorisation. » aa) A cet égard, l’autorité intimée se fonde sur les articles 41 ss et 82 RGP. Les art. 41 ss concernent la nécessité d’une autorisation pour l’organisation d’une manifestation. Ce fondement ne permet toutefois pas de soumettre à autorisation la distribution de tracts sur le domaine public par une personne individuelle: un tel procédé ne saurait être qualifié de « manifestation » (voir dans ce sens l’ordonnance de classement de la Commission de police). Au titre de l’art. 82 RGP, la question qui se pose est de savoir si une telle distribution constitue une « utilisation du domaine public de nature à restreindre de quelque manière que ce soit, temporairement ou durablement, ce commun usage ». Là aussi, une réponse négative s’impose, sous réserve des points examinés ci-dessous (bb). bb) L’autorité intimée relève en effet à juste titre que la situation serait différente si la distribution impliquait par exemple l’installation de stands, l’usage de mégaphones ou de banderoles. Mais, dans de telles circonstances, l’action envisagée devrait alors être considérée comme entraînant une occupation temporaire du domaine public et, dès lors, nécessiterait une autorisation d’usage accru; elle devrait même être qualifiée, comme le suggère l’autorité intimée, de « manifestation » au sens de l’art. 41 RGP. Il n’y a cependant rien de tel en l’occurrence, ce qui est visé étant la simple distribution de tracts sur une base individuelle, sans attroupement, ni installations. Une assimilation à une « manifestation » apparaît ainsi déplacée, à moins de faire un procès d’intention aux recourants. cc) Selon la décision en cause, il se pourrait même que le contenu du message délivré dans le tract distribué puisse conduire à retenir l’existence d’un usage accru du domaine public. Cependant, une telle position se rapproche d’un procédé de censure; il revient à considérer qu’une autorisation préalable est nécessaire, dans la mesure où certains types de messages sont diffusés. Sans doute, l’autorité est-elle habilitée à intervenir si le message en cause vise à promouvoir un comportement illicite. A vues humaines, tel n’est pas le cas en l’espèce. dd) En fin de compte, il convient de franchir le pas qu’annonçait la jurisprudence Aleinick, citée plus haut: autrement dit, il convient de considérer que la distribution de tracts sur le domaine public, sur une base individuelle et sans installation particulière, constitue un simple usage commun, qui ne nécessite pas d’autorisation. On précisera encore que cette qualification n’empêche pas la police d’intervenir dans des situations concrètes, suivant la configuration des lieux ou les comportements qui entraveraient la circulation des piétons ou des véhicules, voire qui gêneraient les passants (par exemple par des sollicitations excessives d’un militant; dans ce sens, Moor/Bellanger/Tanquerel, op. cit., p. 702).</w:t>
      </w:r>
    </w:p>
    <w:p>
      <w:r>
        <w:rPr>
          <w:b/>
        </w:rPr>
        <w:t>E. 3</w:t>
      </w:r>
    </w:p>
    <w:p>
      <w:r>
        <w:t>Les considérations qui précèdent conduisent à l’admission du recours. a) Il convient ainsi de réformer la décision attaquée, en ce sens qu’il est constaté que la distribution de tracts à but idéal sur le domaine public, sur une base individuelle et sans installation particulière, n’est soumise à aucune autorisation préalable au sens du RGP. b) Vu l’issue du recours, le présent arrêt sera rendu sans frais. La Ville de Lausanne doit au surplus à chacun des recourants un montant de 1'000 francs à titre de dépens (art. 55 al. 2 LPA-VD). Ces montants couvrant leurs frais de défense, il n’y a pas lieu d’allouer, ni de fixer, une indemnité de défense d’office, qui s’avère ici superflue (dans le même sens, CDAP, arrêt du 27 février 2009, PS.2008.0082).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