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GE.2018.0060 vom 7. November 2019</w:t>
      </w:r>
    </w:p>
    <w:p>
      <w:r>
        <w:t>VD Tribunal cantonal, 2019-11-07, FR</w:t>
      </w:r>
    </w:p>
    <w:p>
      <w:r>
        <w:rPr>
          <w:b/>
        </w:rPr>
        <w:t xml:space="preserve">Quelle: </w:t>
      </w:r>
      <w:r>
        <w:t>https://mcp.opencaselaw.ch/entscheid/vd_omni_GE.2018.0060</w:t>
      </w:r>
    </w:p>
    <w:p>
      <w:r>
        <w:t>FR: VD_OMNI GE.2018.0060 du 7 novembre 2019</w:t>
      </w:r>
    </w:p>
    <w:p>
      <w:r>
        <w:t>IT: VD_OMNI GE.2018.0060 del 7 novembre 2019</w:t>
      </w:r>
    </w:p>
    <w:p>
      <w:pPr>
        <w:pStyle w:val="Heading2"/>
      </w:pPr>
      <w:r>
        <w:t>Regeste</w:t>
      </w:r>
    </w:p>
    <w:p>
      <w:r>
        <w:t>A.________/Commission de recours individuel, B.________ | Rejet du recours de la municipalité contre la décision par laquelle la commission de recours a classé le poste de coordinateur des Pompes funèbres officielles au niveau 8 d'une chaîne de fonctions de conduite, au lieu du niveau 7 d'une chaîne de fonctions de "généraliste". Selon la municipalité, le poste en question doit effectivement être rattaché à une chaîne de conduite, mais au niveau 7. Toutefois, dans la grille des fonctions actuelle, la chaîne de conduite correspond à des fonctions classées du niveau 8 au niveau 11; il n'existe pas de niveau 7, de sorte que le classement à ce niveau supposerait de compléter la grille. Par ailleurs, s'il est vrai que le poste en question est en dessous du niveau 8 pour certains critères secondaires, il est en dessus pour d'autres. En termes de points, le poste a une cote qui le place encore dans le spectre du niveau 7, mais il est proche de la limite basse du niveau 8. Dans ces conditions, il n'est en tout cas pas arbitraire de le classer au niveau 8 de la chaîne de conduite. La commission de recours n'a pas abusé ni excédé de son pouvoir d'appréciation en procédant à ce classement.</w:t>
      </w:r>
    </w:p>
    <w:p>
      <w:pPr>
        <w:pStyle w:val="Heading2"/>
      </w:pPr>
      <w:r>
        <w:t>Erwägungen</w:t>
      </w:r>
    </w:p>
    <w:p>
      <w:r>
        <w:rPr>
          <w:b/>
        </w:rPr>
        <w:t>E. 1</w:t>
      </w:r>
    </w:p>
    <w:p>
      <w:r>
        <w:t>a)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La Commune de ********, qui agit par sa Municipalité, a qualité pour recourir (cf. arrêt GE.2018.0175 du 1 er juillet 2019 consid. 1b). Il convient donc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Comme cela a déjà été jugé (arrêt GE.2018.0061 du 19 janvier 2019 consid. 2c), il n'y a pas lieu de s'écarter de cette jurisprudence pour définir le pouvoir d'examen de la Cour de céans, lorsqu'elle est saisie d'un recours concernant la classification d'un poste dans le nouveau système de rémunération des fonctionnaires ********. On rappelle à cet égard que la Cour de céans ne peut pas revoir l'opportunité de la décision attaquée (cf. art. 98 LPA-VD a contrario ). Lorsque l'autorité précédente dispose d'un pouvoir d'appréciation, cela exclut que la CDAP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w:t>
      </w:r>
    </w:p>
    <w:p>
      <w:r>
        <w:rPr>
          <w:b/>
        </w:rPr>
        <w:t>E. 3</w:t>
      </w:r>
    </w:p>
    <w:p>
      <w:r>
        <w:t>a) 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b) En sa qualité de fonctionnaire de la Commune de ********, le tiers intéressé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A.________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 Selon le Guide, la grille des fonctions permet de regrouper l'ensemble des postes de A.________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subdivise en 16 niveaux d'exigence.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4. a) En l'occurrence, la recourante fait valoir que le profil "333 – Conduite" niveau 8, retenu par l'autorité intimée, est globalement trop éloigné des compétences, sollicitations et conditions de travail du poste litigieux pour que ce décalage soit admissible. En effet, dans la mesure où le tiers intéressé effectue les tâches d'un prestataire funéraire, les spécificités de son poste, telles qu'elles ressortent du profil adapté établi par la recourante, relèvent principalement des critères secondaires "sollicitation psychologique", "sollicitation physique", "influences environnementales" et "temps de travail irrégulier" et ne sont pour la plupart pas valorisées par le profil modèle "333 – Conduite" niveau 8. Le seul argument permettant de rattacher le poste du tiers intéressé à ce profil, à savoir la composante "conduite" du poste en question, serait insuffisant pour ce faire. En effet, d'un point de vue quantitatif, l'activité de conduite ne représente que 20% des buts et responsabilités de la description de poste. En outre, d'un point de vue qualitatif, la conduite inhérente au poste en question devrait être qualifiée d'"opérationnelle", ce qui conférerait moins de poids à cette composante. Il serait dès lors "arbitraire" de la part de l'autorité intimée de privilégier la conduite au détriment des autres caractéristiques inhérentes au poste du tiers intéressé, qui ont fait l'objet du profil adapté à partir de la fonction "331 Travaux professionnels – Généraliste" niveau 7, profil auquel celle-ci s'est ralliée. b) Lorsqu'elle fait grief à l'autorité intimée d'avoir rattaché le poste du tiers intéressé à une chaîne de conduite, la position de la recourante n'est pas sans contradiction, dans la mesure où elle conclut elle-même à son classement dans une telle chaîne, certes au niveau 7, niveau qui n'existe toutefois pas encore et devrait être créé. Il est par ailleurs exact que le profil modèle "333 – Conduite" niveau 8 ne valorise pas du tout ou pas autant que le profil adapté les critères secondaires "sollicitation psychologique", "sollicitation physique", "influences environnementales" et "temps de travail irrégulier", comme l'autorité intimée l'a du reste retenu dans la décision attaquée. En contrepartie, le profil "333 – Conduite" niveau 8 valorise davantage que le profil adapté notamment la compétence à diriger et l'aide à la décision (cf. graphique, pièce jointe au recours no 6). Il y a ainsi une certaine compensation. En termes de points, la recourante relève que le profil adapté a une cote de 27.62 points, ce qui le situe encore dans le spectre – au sens de la latitude d'un niveau en termes de nombre de points total pondéré attribué à chaque niveau – du niveau 7, qui s'étend de 24.20 à 28.09 points (recours, p. 7). Or, si, avec 27.62 points, le profil adapté est certes encore dans le spectre du niveau 7, il est en même temps proche de la limite basse du spectre du niveau 8, qui s'étend de 28.10 à 32.31 points (cf. pièce jointe au recours no 7). Au vu de cette proximité, il n'est en tout cas pas arbitraire de rattacher le poste du tiers intéressé à la fonction "333 – Conduite" niveau 8. Compte tenu de ce qui précède, la Cour de céans – dont le pouvoir d'examen est limité (cf. consid. 2a ci-dessus) – estime que l'autorité intimée n'a pas excédé ni abusé de son pouvoir d'appréciation en classant le poste du tiers intéressé au niveau 8 de la chaîne 333, plutôt qu'au niveau 7 de la même chaîne, comme le voudrait la recourante. Cela vaut d'autant plus que, dans la grille des fonctions actuelle, la chaîne "333 – Conduite" correspond à des fonctions classées du niveau 8 au niveau 11. Il n'existe pas de niveau 7 de la chaîne 333, lequel devrait d'abord être créé, avant que le poste du tiers intéressé ne puisse lui être rattaché. 5. Les considérants qui précèdent conduisent au rejet du recours et à la confirmation de la décision attaquée. Vu l'issue du litige, les frais de justice seront supportés par la Commune de ********, qui succombe (cf. art. 49 al. 1, 52 al. 1 a contrario, 91 et 99 LPA-VD). Il n'y a pas lieu d'allouer de dépens, le tiers intéressé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