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GE.2018.0030 vom 27. April 2018</w:t>
      </w:r>
    </w:p>
    <w:p>
      <w:r>
        <w:t>VD Tribunal cantonal, 2018-04-27, FR</w:t>
      </w:r>
    </w:p>
    <w:p>
      <w:r>
        <w:rPr>
          <w:b/>
        </w:rPr>
        <w:t xml:space="preserve">Quelle: </w:t>
      </w:r>
      <w:r>
        <w:t>https://mcp.opencaselaw.ch/entscheid/vd_omni_GE.2018.0030</w:t>
      </w:r>
    </w:p>
    <w:p>
      <w:r>
        <w:t>FR: VD_OMNI GE.2018.0030 du 27 avril 2018</w:t>
      </w:r>
    </w:p>
    <w:p>
      <w:r>
        <w:t>IT: VD_OMNI GE.2018.0030 del 27 aprile 2018</w:t>
      </w:r>
    </w:p>
    <w:p>
      <w:pPr>
        <w:pStyle w:val="Heading2"/>
      </w:pPr>
      <w:r>
        <w:t>Regeste</w:t>
      </w:r>
    </w:p>
    <w:p>
      <w:r>
        <w:t>A.________/Municipalité de Villeneuve | Annulation de la décision municipale que le tribunal ne peut pas réformer (autonomie communale, nouvel art. 90 al. 2 LPA-VD): la décision n'est pas motivée, la commune n'a pas fourni son dossier complet, sa réponse au recours ne permet pas de connaître sa pratique et son raisonnement ne respecte pas l'articulation du règlement communal (octroi d'un macaron de stationnement).</w:t>
      </w:r>
    </w:p>
    <w:p>
      <w:pPr>
        <w:pStyle w:val="Heading2"/>
      </w:pPr>
      <w:r>
        <w:t>Erwägungen</w:t>
      </w:r>
    </w:p>
    <w:p>
      <w:r>
        <w:rPr>
          <w:b/>
        </w:rPr>
        <w:t>E. 1</w:t>
      </w:r>
    </w:p>
    <w:p>
      <w:r>
        <w:t>Le règlement communal sur "le stationnement privilégié des résidants sur la voie publique", approuvé par le Conseil d'État le 7 juillet 2004, prévoit notamment ce qui suit : But Article premier — Le présent règlement détermine à quelles conditions les habitants d'un quartier et les entreprises qui y exercent leur activité peuvent stationner sans limitation de temps sur le domaine public, dans des zones où la durée du stationnement est limitée. Autorités compétentes Article 2 — La Municipalité est compétente pour : a)       créer et délimiter les secteurs de stationnement et les zones dans lesquelles il est possible de déroger au stationnement limité; b)       décider du nombre d'autorisations délivrées par rapport au nombre de places disponibles et de leur répartition entre les diverses catégories de bénéficiaires; c)       prendre les décisions qui lui sont dévolues par la Loi sur la circulation routière et ses dispositions d'application; d)       statuer sur les recours. Article 3  — La Direction de police est compétente pour : a)       octroyer, refuser ou retirer les autorisations; b)       instaurer une liste d'attente, au cas où l'offre en stationnement ne suffirait pas à satisfaire à la demande. (...) Bénéficiaires Article 6 — Peuvent bénéficier du stationnement privilégié : a)       les personnes inscrites auprès du Contrôle des habitants et dont le logement principal se trouve à une adresse sise dans la zone concernée, pour les voitures automobiles légères immatriculées à leur nom; b)       les entreprises et les commerces, établis le long des rues de la zone concernée, pour les voitures automobiles légères immatriculées à leur nom et dont l'usage est indispensable à leur activité. Demande Article 7 — Les personnes désirant obtenir une autorisation en font la demande à la Police municipale, en remplissant une formule spéciale. La requête doit être accompagnée d'une photocopie du permis de circulation. Si la Police municipale a des doutes quant au sort à donner à une demande, elle peut exiger toutes les preuves utiles et impartir un délai péremptoire pour les fournir. Si toutes les autorisations permettant de déroger aux règles du stationnement ont déjà été attribuées, les requérants sont inscrits sur une liste d'attente. En cas de forte demande, les autorisations seront accordées par ménage, en tenant compte des possibilités de parcage privé et de l'éloignement des places de parc publiques. Aucune autorisation ne sera délivrée aux camping-cars, remorques, caravanes, ainsi qu'aux véhicules automobiles mettant en péril la sécurité routière du fait de leur dimension. La décision de refus d'une demande est notifiée par écrit au requérant. Elle est succinctement motivée et mentionne les voies de recours. La Municipalité est compétente pour accorder de cas en cas à titre exceptionnel une autorisation à une personne ne répondant pas aux critères ci-dessus. Autorisation Article 8 — L'autorisation indique la durée de sa validité, (...) (...) Recours Article 13 — Toute décision prise par la direction de police, en application des présents articles peut faire l'objet d'un recours à la Municipalité dans les dix jours. Les dispositions ci-dessus placent les autorisations de stationnement privilégié dans la compétence de la Direction de police (art. 3) qui doit, au terme d'une procédure d'instruction complète (art. 7 al. 1 et 2), statuer dans une décision qui, en cas de refus, doit être notifiée par écrit et succinctement motivée (art. 7 al. 6). Cette décision est susceptible de recours à la Municipalité (art. 13). Selon le dernier alinéa de l'art. 7, la municipalité est compétente pour accorder à titre exceptionnel une autorisation à une personne ne répondant pas aux critères réglementaires. On peut se demander s'il s'agit là d'une compétence municipale propre qui reviendrait à la municipalité pour statuer en première instance à la place de la direction de police (qui bénéficie d'une compétence générale selon l'art. 3), ou si cette disposition signifie que lorsque la municipalité statue comme autorité de recours au sens de l'art. 13, elle bénéficie d'un pouvoir d'examen élargi qui lui permet de s'écarter des critères réglementaires. En l'espèce, on ignore quelle a été la procédure suivie puisque la municipalité, invitée par deux fois à transmettre son dossier complet, n'a fourni qu'une copie de la décision attaquée, accompagnée seulement de la lettre du recourant du 29 janvier 2018. La décision attaquée n'est pas motivée. Elle se réfère à un précédent courrier municipal du 20 avril 2017 dont on ignore la teneur faute de pouvoir le consulter dans le dossier. Même à la lumière de la réponse au recours de la municipalité, il n'est pas possible de cerner la pratique de la municipalité quant à la question de savoir dans quelles circonstances concrètes (livraison, visites de client, voire utilisation du véhicule comme outil travail, etc.) elle admet qu'une voiture automobile légère est indispensable à l'activité d'une entreprise ou d'un commerce. Le raisonnement même de la municipalité ne respecte pas l'articulation des diverses dispositions réglementaires: il revient à considérer que si une voiture n'est pas indispensable à l'activité au sens de l'art 6 let. b du règlement, l'octroi d'une autorisation exceptionnelle est d'emblée exclu alors qu'en réalité, la municipalité doit, dans ce cas, se poser encore la question de l'octroi d'une autorisation exceptionnelle au sens du dernier alinéa de l'art. 7. À ceci s'ajoute que la municipalité ne dit mot du grief d'inégalité de traitement soulevé par le recourant, qui invoque un cas qu'il dit semblable au sien et qui ne serait pas isolé. Dans ces conditions, la décision attaquée, qui met le tribunal dans l'impossibilité de statuer sur le recours, doit être annulée. Il y a donc lieu de renvoyer la cause à la municipalité car on se trouve dans un cas où la garantie de l'autonomie communale l'exige pour éviter qu'en réformant lui-même la décision attaquée, le tribunal ne statue en opportunité en lieu et place de l'autorité intimée (art 90 al. 2 de la loi sur la procédure administrative (LPA-VD ; RSV 173.36), dans sa teneur entrée en vigueur le 1 er avril 2018.</w:t>
      </w:r>
    </w:p>
    <w:p>
      <w:r>
        <w:rPr>
          <w:b/>
        </w:rPr>
        <w:t>E. 2</w:t>
      </w:r>
    </w:p>
    <w:p>
      <w:r>
        <w:t>Le recours étant ainsi partiellement admis, l'arrêt sera rendu sans frais pour le recourant. Il peut l'être sans frais aussi à l'égard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