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GE.2017.0221 vom 9. April 2019</w:t>
      </w:r>
    </w:p>
    <w:p>
      <w:r>
        <w:t>VD Tribunal cantonal, 2019-04-09, FR</w:t>
      </w:r>
    </w:p>
    <w:p>
      <w:r>
        <w:rPr>
          <w:b/>
        </w:rPr>
        <w:t xml:space="preserve">Quelle: </w:t>
      </w:r>
      <w:r>
        <w:t>https://mcp.opencaselaw.ch/entscheid/vd_omni_GE.2017.0221</w:t>
      </w:r>
    </w:p>
    <w:p>
      <w:r>
        <w:t>FR: VD_OMNI GE.2017.0221 du 9 avril 2019</w:t>
      </w:r>
    </w:p>
    <w:p>
      <w:r>
        <w:t>IT: VD_OMNI GE.2017.0221 del 9 aprile 2019</w:t>
      </w:r>
    </w:p>
    <w:p>
      <w:pPr>
        <w:pStyle w:val="Heading2"/>
      </w:pPr>
      <w:r>
        <w:t>Regeste</w:t>
      </w:r>
    </w:p>
    <w:p>
      <w:r>
        <w:t>A.________, B.________/Direction générale de la mobilité et des routes DGMR, Municipalité d'Ormont-Dessus | Demande de propriétaires privés au Service cantonal des routes (SR) afin que celui-ci intervienne dans un litige les opposant à la Municipalité au sujet de l'utilisation d'une route (litige concernant notamment l'interprétation de servitudes privées). Demande des propriétaires que le SR prononce une interdiction de tout trafic motorisé sur cette route. Route d'ores et déjà interdite au trafic motorisé (panneau OSR 2.14) Décision de refus d'intervenir du SR confirmée par la CDAP. Rejet du grief relatif à la motivation de la décision (consid. 2). Le SR n'est pas compétent pour constater la nullité de servitudes privées. Il n'est également pas compétent pour interdire tout trafic motorisé sur une route communale. Il n'est a fortiori pas compétent si l'interprétation des servitudes devait démontrer qu'on est en présence d'une route privée. Pas de raison d'intervenir sur le base de l'art. 3 al. 4 LRou (mesures pour assurer la sécurité et la fluidité du trafic). Il appartient aux autorités compétentes (dont ne fait pas partie le SR) de faire respecter l'interdiction de circuler. Pas de déni de justice.</w:t>
      </w:r>
    </w:p>
    <w:p>
      <w:pPr>
        <w:pStyle w:val="Heading2"/>
      </w:pPr>
      <w:r>
        <w:t>Erwägungen</w:t>
      </w:r>
    </w:p>
    <w:p>
      <w:r>
        <w:rPr>
          <w:b/>
        </w:rPr>
        <w:t>E. 1</w:t>
      </w:r>
    </w:p>
    <w:p>
      <w:r>
        <w:t>Les recourants demandent la production "des dossiers complets et originaux des autorités communales et cantonales".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notamment celui produit par l'autorité intimée, est suffisant pour permettre au tribunal de statuer en toute connaissance de cause sur les points qui lui sont soumis. Sur la base d'une appréciation anticipée des preuves proposées, il n'y a par conséquent pas lieu de donner suite à la requête tendant à ce que des pièces supplémentaires soient versées au dossier. 2.                Les recourants invoquent une violation de leur droit d'être entendus au motif que les décisions attaquées seraient insuffisamment motivées. a) Tel que garanti par l'art. 29 al. 2 Cst., le droit d'être entendu implique notamment pour l'autorité l'obligation de motiver sa décision (cf. art. 42 let. c de la loi vaudoise du 28 octobre 2008 sur la procédure administrative [LPA-VD, BLV 173.36]).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Dès lors que l'on peut discerner les motifs qui ont guidé la décision de l'autorité, le droit à une décision motivée est respecté même si la motivation présentée est erronée (ATF 141 V 557 consid. 3.2.1 p. 564; TF 1B_145/2016 du 1 er juillet 2016 consid. 2). La motivation peut par ailleurs être implicite et résulter des différents considérants de la décision (ATF 141 V 557 consid. 3.2.1 p. 565).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 En l'occurrence, dans la décision attaquée, l'autorité intimé a indiqué les raisons pour lesquelles elle ne s'estimait pas compétente pour restreindre la circulation sur la route des Moilles. A cet égard, la décision est suffisamment motivée et elle a permis aux intéressés de se rendre compte de sa portée et de l'attaquer devant la CDAP. Certes, les recourants ne sont pas satisfaits de la réponse qui leur a été donnée, qui ne correspond pas à leurs attentes. Ceci n'implique toutefois pas que la décision souffre d'un défaut de motivation susceptible d'entraîner son annulation. 3.                Les recourants mettent en cause l'impartialité des autorités communales en relation avec le PPA d'Isenau, la création de la nouvelle télécabine d'Isenau et le traitement de la question des accès. Ce grief, qui concerne les autorités communales, est sans rapport avec la décision rendue par la DGMR le 3 novembre 2018. Partant, il est irrecevable et il n'y a pas lieu de l'examiner plus avant. 4.                Sur le fond, les recourants concluent à la reconnaissance et à la constatation de la nullité des servitudes n os 234377 et 200201 et à l'interdiction de tout trafic motorisé sur la route des Moilles. Implicitement, ils considèrent le refus d'entrer en matière de la DGMR sur leurs différentes demandes comme un déni de justice formel au sens de l'art. 74 al. 2 LPA-VD, qui peut faire l'objet d'un recours auprès du Tribunal cantonal en application de cette disposition, applicable par renvoi de l'art. 99 LPA-VD. a) La constatation éventuelle de la nullité des servitudes n os 234377 et 200201 relève des juridictions civiles et la DGMR n'a aucune compétence à cet égard. Il en va de même en ce qui concerne l'interprétation du contenu des servitudes et notamment de la question de savoir si elles impliquent une utilisation exclusivement agricole ou permettent une ouverture au public de la route des Moilles, notamment pour rejoindre le restaurant sis en amont. b) Pour ce qui est de l'interdiction de tout trafic motorisé sur la route des Moilles, on relève qu'une telle mesure a déjà été prise par l'autorité compétente puisqu'un panneau de signalisation OSR 2.14 "circulation interdite aux véhicules automobiles, aux motocycles et cyclomoteurs" a été installé. Il appartient aux autorités compétentes pour la constatation et la dénonciation des infractions en matière de circulation routière (cf. art. 11 ss de la loi du 25 novembre 1974 sur la circulation routière [LVCR; BLV 741.01]), dont ne fait pas partie la DGMR, de faire respecter cette interdiction en sanctionnant de manière appropriée les conducteurs qui contreviennent à la signalisation en place. On peut au surplus relever que, aux termes de l'art.</w:t>
      </w:r>
    </w:p>
    <w:p>
      <w:r>
        <w:rPr>
          <w:b/>
        </w:rPr>
        <w:t>E. 3</w:t>
      </w:r>
    </w:p>
    <w:p>
      <w:r>
        <w:t>al. 4 LRou, la municipalité administre les routes communales et les tronçons de routes cantonales en traversée de localités, sous réserve des mesures que peut prendre le département pour assurer la sécurité et la fluidité du trafic. Or, ainsi que cela ressort de la décision attaquée, les conditions pour que le département intervienne sur cette base ne sont pas remplies. c) On peut souligner à toutes fins utiles qu'il n'est pas nécessaire de trancher dans le cadre du présent litige la question de savoir si, en l'absence d'une servitude de passage public au sens de l'art. 1 al. 2 LRou valablement constituée, on se trouve en présence d'une route purement privée (comme semblent le soutenir les recourants). Dans cette hypothèse, il s'agirait en effet d'une route non soumise à la LRou et, a fortiori, la DGMR ne disposerait d'aucune compétence pour rendre une décision d'interdiction de circuler à cet endroit. d) Vu ce qui précède, c'est à juste titre que la DGMR a refusé d'entrer en matière sur les demandes formulées par les recourants en relation avec la circulation sur la route des Moilles et on ne saurait par conséquent lui reprocher un déni de justice formel. 5.                Dans leur dernière écriture du 11 mars 2019, les recourants mettent cause des autorisations qui auraient été données par la DGMR, suite à des préavis positifs de la Municipalité, pour l'utilisation de quads et de motoneige. La décision de la  DGMR du 3 novembre 2017, qui fait l'objet du présent recours, ne porte pas sur des autorisations d'utilisation de quads et de motoneige. Partant, cette question sort de l'objet du litige et n'a pas à être examinée plus avant. 6.                Il résulte de ce qui précède que le recours doit être rejeté. Vu le sort du recours, les frais sont mis à la charge des recourants (art. 49 al. 1 LPA-VD). Ces derniers verseront en outre de dépens à la Commune d'Ormont-Dessus, qui a agi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