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GE.2017.0077 vom 6. Februar 2018</w:t>
      </w:r>
    </w:p>
    <w:p>
      <w:r>
        <w:t>VD Tribunal cantonal, 2018-02-06, FR</w:t>
      </w:r>
    </w:p>
    <w:p>
      <w:r>
        <w:rPr>
          <w:b/>
        </w:rPr>
        <w:t xml:space="preserve">Quelle: </w:t>
      </w:r>
      <w:r>
        <w:t>https://mcp.opencaselaw.ch/entscheid/vd_omni_GE.2017.0077</w:t>
      </w:r>
    </w:p>
    <w:p>
      <w:r>
        <w:t>FR: VD_OMNI GE.2017.0077 du 6 février 2018</w:t>
      </w:r>
    </w:p>
    <w:p>
      <w:r>
        <w:t>IT: VD_OMNI GE.2017.0077 del 6 febbraio 2018</w:t>
      </w:r>
    </w:p>
    <w:p>
      <w:pPr>
        <w:pStyle w:val="Heading2"/>
      </w:pPr>
      <w:r>
        <w:t>Regeste</w:t>
      </w:r>
    </w:p>
    <w:p>
      <w:r>
        <w:t>A.________ /Département de la santé et de l'action sociale | Recours d'une dentiste contre un blâme et sa publication. La motivation de la décision est ambiguë; cette dernière porte en réalité sur une information erronée transmise aux patients, relative à l'application des normes SSO et des délais et frais en matière d'annulation de rendez-vous (c. 2). Dans ses déterminations, l'autorité intimée a annoncé renoncer à la publication du blâme. Le Tribunal considère que ce dernier est justifié tant dans son principe que dans sa quotité: la recourante fait mention sans droit au tarif dentaire SSO, qu'elle n'applique - au demeurant - pas correctement. Elle n'est en effet pas membre de l'association. Le fait qu'elle soit engagée par une société et qu'elle exerce ainsi une activité dépendante ne change rien à ses obligations de médecin au sens de la LSP. Rejet du recours. Recours au TF rejeté (arrêt 2C_233 du 10 septembre 2018).</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(cf. en particulier art. 79 al. 1 LPA-VD, applicable par analogie par renvoi de l'art. 99 LPA-VD), de sorte qu'il y a lieu d'entrer en matière sur le fond.</w:t>
      </w:r>
    </w:p>
    <w:p>
      <w:r>
        <w:rPr>
          <w:b/>
        </w:rPr>
        <w:t>E. 2</w:t>
      </w:r>
    </w:p>
    <w:p>
      <w:r>
        <w:t>Dans son recours, la recourante se plaint d'une violation de son droit d'être entendue. a) Tel qu'il est garanti par l'art. 29 al. 2 Cst., le droit d'être entendu comprend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w:t>
      </w:r>
    </w:p>
    <w:p>
      <w:r>
        <w:rPr>
          <w:b/>
        </w:rPr>
        <w:t>E. 2.3</w:t>
      </w:r>
    </w:p>
    <w:p>
      <w:r>
        <w:t>et les références; Tribunal fédéral [TF] 2C_33/2017 du 8 juin 2017 consid.3.1). En l'occurrence, la recourante s'est en substance plainte dans son recours de n'avoir pas été entendue à propos des irrégularités sur le site Internet de la société B.________ qui lui sont reprochées dans la décision attaquée. L'autorité intimée a toutefois indiqué dans sa réponse au recours que le blâme litigieux n'était aucunement fondé sur ce point, mais bien plutôt sur les plaintes de D.________, E.________ et H.________ respectivement sur la pratique de la recourante tendant à faire abusivement référence à la tarification SSO (cf. le passage de la réponse reproduit sous let. C supra ). Le tribunal prend acte de cette précision de l'autorité intimée et constate d'emblée que, dans cette mesure, il importe peu en définitive que la recourante n'ait pas eu l'occasion de s'expliquer s'agissant des irrégularités sur le site Internet évoquées avant le prononcé de la décision attaquée. Sous cet angle, on en saurait ainsi considérer que le droit d'être entendue de la recourante aurait été violé. Pour le surplus, le Conseil de santé ayant relevé les irrégularités en cause par courrier adressé le 21 novembre 2016 au conseil de la recourante, il aurait été loisible à cette dernière, si elle le souhaitait, de se prononcer à ce propos avant que l'autorité intimée ne rende sa décision (cf. let. B/e supra et l'audition de la recourante du 7 février 2017 ainsi que les courriers de son conseil des 9 et 14 février 2017). b) Le tribunal se doit toutefois également de constater d'emblée que la décision attaquée n'est pas sans prêter le flanc à la critique sous l'angle de sa motivation. aa) Le droit d'être entendu implique en effet également pour l'autorité l'obligation de motiver sa décision.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notamment de la portée de la décision à rendre et de la marge d’appréciation des autorités en la matière, le devoir de motiver étant d’autant plus grand que l’autorité dispose d’un large pouvoir d’appréciation (cf. CDAP AC.2016.0034 du 1 er avril 2016 consid. 1a, qui se réfère à Thierry Tanquerel, Manuel de droit administratif, Genève 2011, n. 1573 p. 521). En règle générale, il suffit que l'autorité mentionne au moins brièvement les motifs qui l'ont guidée (ATF 133 III 439 consid. 3.3; 126 I 97 consid. 2b). L'autorité peut ainsi se limiter à l'examen des questions décisives pour l'issue du litige; il suffit que le justiciable puisse apprécier correctement la portée de la décision et l'attaquer à bon escient, et que l'autorité de recours puisse exercer son contrôle (cf. ATF 141 IV 249 consid. 1.3.1 et les références; 134 I 83 consid. 4.1; TF 1C_622/2015 du 24 février 2016 consid. 3.1). Pour le reste, dès lors que l'on peut discerner les motifs qui ont guidé la décision de l'autorité, le droit à une décision motivée est respecté et ce même si, par hypothèse, la motivation présentée est erronée. La motivation peut en outre être implicite et résulter des différents considérants de la décision (ATF 141 V 557 consid. 3.2.1 et la référence; TF 1C_52/2016 du 7 septembre 2016 consid. 3.1; CDAP AC.2016.0385 du 8 décembre 2016 consid. 1a). En droit cantonal, l'art. 42 LPA-VD prévoit dans ce cadre que la décision contient notamment " les faits, les règles juridiques et les motifs sur lesquels elle s'appuie " (let. c). bb) En l'espèce, si la décision attaquée contient des constatations de fait circonstanciées, il s'impose de constater que la motivation à proprement parler (reproduite in extenso sous let. B/f supra ) est pour le moins ambiguë. Il y est en effet expressément fait référence au fait que la recourante n'aurait pas suivi les injonctions de la délégation du Conseil de santé en lien avec les irrégularités sur le site Internet de la société B.________ - c'est même à cet élément qu'est consacrée la majeure partie de la motivation. Tout porte ainsi à croire que le blâme prononcé se fonde également sur ce point; au vrai, il était totalement impossible pour la recourante (ou même pour le tribunal) de deviner que tel n'est pas le cas avant que l'autorité intimée ne le précise dans sa réponse au recours. cc) Seul demeure pour le reste le motif lié au fait que la recourante mentionne le tarif SSO pour les rendez-vous manqués sans respecter les délais d'annulation et la tarification prévus par les règles de la SSO et alors même qu'elle n'a pas adhéré à la convention tarifaire de la SSO - de sorte qu'elle n'aurait pas le droit de faire mention de ce tarif -, étant précisé d'emblée qu'aucune base légale n'est indiquée en lien avec les manquements reprochés à la recourante sur ces points. L'autorité intimée n'a pas examiné pour le reste, dans la motivation de la décision attaquée, le bien-fondé des autres manquements relevés par la délégation du Conseil de santé dans son rapport préliminaire le 21 juin 2016 (cf. let. B/c supra ) respectivement des arguments de la recourante à ce propos; le renvoi à " ce qui précède " (au tout début de la motivation) apparaît à l'évidence trop général pour que l'on puisse considérer qu'elle se serait implicitement fondée sur d'autres motifs que ceux relatifs au tarif SSO. Le tribunal ne peut que s'étonner dans ce cadre de l'importance accordée aux constatations de fait (qui sont développées sur 13 pages dans la décision attaquée) en regard du caractère pour le moins succinct de la motivation - encore les remarques concernant les irrégularités du site Internet concerné ne doivent-elles pas être prises en compte dans ce cadre, comme on vient de le voir.</w:t>
      </w:r>
    </w:p>
    <w:p>
      <w:r>
        <w:rPr>
          <w:b/>
        </w:rPr>
        <w:t>E. 3</w:t>
      </w:r>
    </w:p>
    <w:p>
      <w:r>
        <w:t>Dans le cadre de ses compétences, tout professionnel de la santé s'assure que les patients qu'il soigne reçoivent les informations nécessaires afin de donner valablement leur consentement. […] Art. 23       Consentement libre et éclairé 1 Aucun soin ne peut être fourni sans le consentement libre et éclairé du patient capable de discernement, qu'il soit majeur ou mineur. […]" Selon l'art. 191 LSP, lorsqu'une personne n'observe pas la présente loi ou ses dispositions d'application, lorsqu'elle a fait l'objet d'une condamnation pour un crime ou délit, lorsqu'elle est convaincue d'immoralité ou de procédés frauduleux ou lorsqu'elle fait preuve dans l'exercice de sa profession de négligence, de résistance aux ordres de l'autorité ou d'incapacité, le département peut lui infliger à titre de sanction administrative (al 1) un avertissement (let. a), un blâme (let. b), une amende de 500 fr. à 200'000 fr. (let. c), la mise en place de conditions, la limitation, la suspension, le retrait temporaire ou définitif de l'autorisation de pratiquer, d'exploiter ou de diriger ou encore le retrait de la qualité de responsable (let. d), la fermeture des locaux (let. e), respectivement l'interdiction de pratiquer (let. f); ces sanctions peuvent être cumulées (al. 2). c) La société suisse des médecins-dentistes (SSO) a établi en 1976 un tarif dentaire à propos duquel elle précise ce qui suit sur son site Internet (https://www.sso.ch/fr/patients/droit-et-tarif/tarif-dentaire.html): "Le tarif dentaire contient plus de 500 prestations individuelles. Un certain nombre de points ont été attribués à chacune de ces prestations. Le prix d’une prestation individuelle est donc égal au produit de la multiplication du nombre de points correspondant à cette prestation par la valeur du point. Pour les cas pris en charge par les assurances sociales, c’est-à-dire régis par la loi sur l’assurance-accidents et la loi sur l’assurance-maladie, le nombre de points tarifaires et la valeur du point (actuellement 3 fr. 10) sont fixes. Cette valeur moyenne ne tient pas compte des particularités de chaque cas individuel, mais elle correspond à la réalité des coûts en raison de la loi des grands nombres et elle est plus simple d’utilisation pour les assureurs. Pour les patients privés, le nombre de points peut varier dans une certaine mesure. La valeur du point n’est pas limitée vers le bas. En revanche, elle est plafonnée à 5 fr. 80 pour les membres de la Société suisse des médecins-dentistes SSO. Le cadre tarifaire applicable aux patients privés permet de tenir compte d’une part des circonstances particulières inhérentes au patient (urgence, exigences en termes de confort, d’esthétique et de qualité) et d’autre part des spécificités du cabinet (coûts d’infrastructure, salaires, etc.)." La SSO et le Concordat des assureurs-maladie suisses (CAMS) ont conclu une Convention tarifaire concernant les soins fournis par les médecins-dentistes devant être pris en charge par les assureurs conformément à la loi fédérale du 18 mars 1994 sur l'assurance-maladie (LAMal; RS 832.10), qui se base notamment sur le tarif dentaire introduit en 1976 par la SSO. Les médecins-dentistes membres de la SSO sont liés par la convention tarifaire; ceux qui ne sont pas membres de la SSO peuvent y adhérer, moyennant le paiement d'une contribution destinée à couvrir les frais de conclusion et d'exécution de la convention (art. 2 et 4 de la Convention tarifaire; CDAP GE.2015.0225 du 5 juillet 2016 consid. 1d). d) En l'espèce, l'autorité intimée a infligé un blâme (au sens de l'art. 191 al. 1 let. b LSP) à la recourante au motif qu'elle mentionne le tarif SSO pour les rendez-vous manqués sans respecter les délais d'annulation et la tarification prévus par les règles de la SSO et alors même qu'elle n'est pas membre de la SSO et n'a pas adhéré à la convention tarifaire - de sorte qu'elle n'a pas le droit de faire mention de ce tarif. aa) La recourante soutient en premier lieu, en substance, que la pratique des honoraires et les conditions contractuelles conclues avec les patients du cabinet dentaire relèvent exclusivement de décisions internes à la société B.________, respectivement que l'art. 23 LSP, disposition à laquelle la décision attaquée semble se référer (c'est en effet une contravention à cette disposition qui est retenue dans le rapport préliminaire de la délégation du Conseil de santé du 21 juin 2016; cf. let. B/c supra ), ne peut s'appliquer à la société B.________ et ne peut pas davantage être retenu à son encontre dès lors qu'en tant qu'employée salariée, elle n'est pas libre de la politique de tarification et de la communication de cette société. Il s'impose de constater qu'un tel grief ne résiste pas à l'examen. Les règles et conditions régissant la pratique à titre indépendant des professions médicales s'appliquent également, par analogie, aux personnes exerçant une telle profession à titre dépendant (cf. art. 76 al. 1 LSP s'agissant des médecins, respectivement art. 76 al. 3 et al. 4 LSP s'agissant des autres professions de la santé); c'est au demeurant à " tout professionnel de la santé ", indépendamment du caractère dépendant ou indépendant de son activité, qu'il appartient de s'assurer dans le cadre de ses compétences que les patients qu'il soigne reçoivent les informations nécessaires afin de donner valablement leur consentement (art. 21 al. 3 LSP; cf. dans le même sens CDAP GE.2015.0225 précité, consid. 2b). Le seul fait que la recourante1 exerce son activité à titre dépendant ne saurait ainsi avoir pour conséquence, à l'évidence, qu'elle serait soustraite de ce chef à son devoir de s'assurer du consentement libre et éclairé de ses patients - y compris s'agissant des aspects financiers du traitement - avant de leur fournir des soins (cf. art. 23 al. 1 LSP), et ce indépendamment même du fait qu'elle peut en l'occurrence valablement engager la société B.________ et dispose d'un pouvoir décisionnel au sein de cette société (en tant que directrice avec signature individuelle) auquel l'autorité intimée se réfère dans sa réponse au recours. bb) La recourante soutient en outre qu'il n'y aurait " rien de trompeur " dans le fait de mentionner le tarif SSO dès lors que la valeur du point s'inscrit dans les limites prévues par ce tarif et que pour le reste, les normes associatives dégagées par la SSO - auxquelles elle n'est pas soumise - n'ont une valeur de référence que pour les seuls membres de cette association et ne constituent pas, en particulier, des normes de droit public qui s'imposeraient à elle. Il n'est pas contesté que le tarif dentaire et les normes associatives qui en règlent l'application ne sont pas des normes de droit public et que la recourante n'y est pas soumise - dès lors qu'elle n'est pas membre de la SSO et qu'elle n'a pas davantage adhéré à la Convention tarifaire. Les manquements qui lui sont reprochés ne portent pas sur ce point, mais bien plutôt sur le fait qu'elle fait mention sans droit du tarif dentaire SSO et qu'elle ne l'applique pas correctement. Cela étant, il apparaît manifestement que la référence au tarif SSO est de nature à faire naître chez les patients de la recourante l'impression trompeuse sinon qu'elle est membre de la SSO, à tout le moins qu'elle est en droit d'appliquer ce tarif. Par ailleurs et indépendamment même de ce point, elle ne saurait à l'évidence se référer au tarif SSO sans l'appliquer correctement, sous peine de contrevenir aux règles élémentaires de la bonne foi (cf. CDAP GE.2015.0225 précité, consid. 2a). La mention du tarif SSO est en effet de nature à faire croire aux patients que le délai d'annulation des rendez-vous et la méthode de tarification en cas de rendez-vous manqués appliqués dans la cabinet dentaire concerné sont eux-mêmes prévus pas les normes ad hoc de la SSO, alors qu'il n'est pas contesté que tel n'est pas le cas. Un tel procédé est constitutif, à tout le moins, d'une information déficiente s'agissant des aspects financiers du traitement (art. 21 al. 1 et 23 al. 1 LSP) - peu important sous cet angle que les patients soient par ailleurs informés du délai d'annulation des rendez-vous et de la méthode de tarification en cas de rendez-vous manqués appliqués, le manquement consistant bien plutôt dans la mention indue et trompeuse du tarif SSO. C'est en outre le lieu de rappeler que l'usage de termes susceptibles de créer une confusion dans l'esprit du public est interdit (art. 77 LSP). Il apparaît en définitive qu'en mentionnant sans droit le tarif SSO et en n'appliquant pas correctement ce tarif, la recourante n'a pas respecté la LSP, à tout le moins a fait preuve dans l'exercice de sa profession de négligence, de sorte que le prononcé d'une sanction à son encontre en application de l'art. 191 LSP n'est pas critiquable dans son principe. e) S'agissant pour le reste de la quotité de la sanction, il convient de rappeler que les  mesures disciplinaires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(ATF 143 I 352 consid. 3.3 et la référence). En l'occurrence, au vu du manquement dont la recourante s'est rendue coupable, il n'apparaît pas que l'autorité intimée aurait abusé de son pouvoir d'appréciation en lui infligeant un blâme (au sens de l'art. 191 al. 1 let. b LSP); la recourante ne conteste au demeurant pas la quotité de la sanction en tant que telle.</w:t>
      </w:r>
    </w:p>
    <w:p>
      <w:r>
        <w:rPr>
          <w:b/>
        </w:rPr>
        <w:t>E. 4</w:t>
      </w:r>
    </w:p>
    <w:p>
      <w:r>
        <w:t>Il résulte des considérants qui précèdent que le recours doit être rejeté et la décision attaquée confirmée dans la mesure où elle n'a pas été révoquée - étant rappelé que l'autorité intimée a renoncé dans sa duplique du 24 août 2017 à la publication de la sanction dans la FAO (cf. let. C supra ). L'émolument à la charge de la recourante, qui succombe, doit être réduit à 1000 fr. compte tenu des circonstances (cf. art. 49 al. 1; art. 1, 4 al. 1 et 6 du tarif des frais judiciaires et des dépens en matière administrative du 28 avril 2015 [TFJDA; RSV 173.36.5.1]) - soit en particulier de l'ambiguïté de la motivation de la décision attaquée (cf. consid. 2b supra ), de la renonciation par l'autorité intimée à la publication de la sanction en cours de procédure ou encore, d'une façon générale, de la charge liée à la procédure (en l'absence notamment d'audience d'instruction). Il n'y a pas lieu pour le reste d'allouer d'indemnité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