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GE.2017.0072 vom 9. November 2017</w:t>
      </w:r>
    </w:p>
    <w:p>
      <w:r>
        <w:t>VD Tribunal cantonal, 2017-11-09, FR</w:t>
      </w:r>
    </w:p>
    <w:p>
      <w:r>
        <w:rPr>
          <w:b/>
        </w:rPr>
        <w:t xml:space="preserve">Quelle: </w:t>
      </w:r>
      <w:r>
        <w:t>https://mcp.opencaselaw.ch/entscheid/vd_omni_GE.2017.0072</w:t>
      </w:r>
    </w:p>
    <w:p>
      <w:r>
        <w:t>FR: VD_OMNI GE.2017.0072 du 9 novembre 2017</w:t>
      </w:r>
    </w:p>
    <w:p>
      <w:r>
        <w:t>IT: VD_OMNI GE.2017.0072 del 9 novembre 2017</w:t>
      </w:r>
    </w:p>
    <w:p>
      <w:pPr>
        <w:pStyle w:val="Heading2"/>
      </w:pPr>
      <w:r>
        <w:t>Regeste</w:t>
      </w:r>
    </w:p>
    <w:p>
      <w:r>
        <w:t>A.________/CHAMBRE DES AVOCATS | Recours d'un avocat contre une décision de la Chambre des avocats prononçant une interdiction de pratiquer d'une durée de six mois. La représentation de deux co-prévenus dans une même affaire pénale n'est pas d'emblée exclue (rappel de la jurisprudence fédérale en matière pénale). En l'occurrence, la Chambre des avocats a omis d'examiner concrètement le risque de conflit d'intérêts. La volonté délictuelle et les intérêts des deux prévenus défendus par le recourant étaient identiques. Dans ces circonstances, il ne peut être reproché à l'avocat de s'être opposé aux injonctions de la Présidente du Tribunal d'arrondissement lui demandant de se défaire d'un de ses mandats. Pas de violation de l'obligation de l'avocat d'éviter tout conflit d'intérêts. En revanche, la manière dont le recourant a réagi, par courrier, aux ordres de la Présidente, est constitutive d'une violation du devoir de diligence de l'avocat. Ce dernier ne saurait s'en prendre à la probité de la magistrate en laissant entendre qu'elle se serait laissée influencer par des considérations politiques. Le ton et les termes choisis dans le courrier sont inutilement désobligeants et desservent les intérêts des clients. Enfin, l'utilisation pour la correspondance professionnelle d'une adresse électronique dont le nom de domaine appartient à une société dont l'avocat est l'administrateur président n'est pas constitutive d'une violation de l'obligation de garantir l'indépendance organisationnelle et de préserver le secret professionnel. Recours partiellement admis, la cause étant renvoyée à l'autorité intimée pour qu'elle prononce une nouvelle sanction compatible avec la seule violation de l'obligation de diligence du recourant relative à son courrier adressé à la Présidente du Tribunal d'arrondissement.</w:t>
      </w:r>
    </w:p>
    <w:p>
      <w:pPr>
        <w:pStyle w:val="Heading2"/>
      </w:pPr>
      <w:r>
        <w:t>Erwägungen</w:t>
      </w:r>
    </w:p>
    <w:p>
      <w:r>
        <w:rPr>
          <w:b/>
        </w:rPr>
        <w:t>E. 1</w:t>
      </w:r>
    </w:p>
    <w:p>
      <w:r>
        <w:t>Le recourant requiert la tenue d'une audience afin qu'il soit procédé à son audition. a) Le droit d'être entendu garanti à l'art. 29 al. 2 Cst. comprend notamment celui de faire administrer les preuves, pour autant qu'elles apparaissent utiles à l'établissement des faits pertinents (cf. ATF 139 II 489 consid. 3.3 p. 496); il ne comprend en revanche pas le droit d'être entendu oralement ( ATF 140 I 68 consid. 9.6.1 p. 76; 134 I 140 consid. 5.3 p. 148).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299; 137 III 208 consid. 2.2 p. 210). b) Le dossier de la cause est suffisamment complet pour permettre à la Cour de statuer en toute connaissance de cause. Il contient l'ensemble des documents fondant, selon l'autorité intimée, la sanction disciplinaire prononcée. Le recourant a déjà eu maintes fois l'occasion de s'expliquer par écrit et a été entendu oralement par l'inspecteur de la Chambre des avocats. La Cour estime qu'entendre le recourant afin qu'il exprime par oral ce qu'il a déjà largement exposé par écrit n'est pas nécessaire. Il y a dès lors lieu de rejeter, par appréciation anticipée des moyens de preuve, la requête du recourant tendant à la tenue d'une audience.</w:t>
      </w:r>
    </w:p>
    <w:p>
      <w:r>
        <w:rPr>
          <w:b/>
        </w:rPr>
        <w:t>E. 2</w:t>
      </w:r>
    </w:p>
    <w:p>
      <w:r>
        <w:t>Le litige porte sur trois violations d'obligations professionnelles retenues à l'encontre du recourant par la Chambre des avocats: la violation de son obligation d'éviter tout conflit d'intérêts (consid. 3), celle d'exercer sa profession avec soin et diligence (consid. 4) et celle d'indépendance organisationnelle et de la préservation du secret professionnel (consid. 5). Le recourant considère qu'aucun de ces manquements ne peut lui être reproché. Il convient d'examiner séparément chacun de ses griefs.</w:t>
      </w:r>
    </w:p>
    <w:p>
      <w:r>
        <w:rPr>
          <w:b/>
        </w:rPr>
        <w:t>E. 3</w:t>
      </w:r>
    </w:p>
    <w:p>
      <w:r>
        <w:t>Le recourant reproche à l'autorité intimée d'avoir violé l'art. 12 let. c LLCA en constatant que la représentation conjointe de B.________ et C.________, coprévenus dans le cadre d'une affaire pénale, constituait une violation de son obligation professionnelle d'éviter tout conflit d'intérêts. a) A teneur de l' art. 127 al. 3 du code de procédure pénale suisse du 5 octobre 2007 (CPP; RS 312.0) , un conseil juridique peut défendre les intérêts de plusieurs participants à la procédure dans les limites de la loi et des règles de sa profession. La défense des prévenus étant réservée aux avocats ( art. 127 al. 5 CPP ), les règles à respecter sont celles qui ressortent de la LLCA. Il s'agit en particulier du principe énoncé à l' art. 12 let . c LLCA, qui commande à l'avocat d'éviter tout conflit entre les intérêts de son client et ceux des personnes avec lesquelles il est en relation sur le plan professionnel ou privé. Cette règle est en lien avec la clause générale de l' art. 12 let. a LLCA , selon laquelle l'avocat exerce sa profession avec soin et diligence, de même qu'avec l'obligation d'indépendance rappelée à l' art. 12 let . b LLCA ( ATF 141 IV 257 consid. 2.1 p. 260; 134 II 108 consid. 3 p. 109 s.). Le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 ATF 141 IV 257 consid. 2.1 p. 261; 135 II 145 consid. 9.1 p. 154 s. et les arrêts cités). Ces règles visent avant tout à protéger les intérêts des clients de l'avocat, en leur garantissant une défense exempte de conflit d'intérêts. Elles tendent également à garantir la bonne marche du procès, notamment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Ces principes sont d'autant plus importants en matière pénale s'agissant de la défense des prévenus. En effet, en cas de représentation multiple - et même si l'avocat entend adopter une stratégie commune et plaider pour l'ensemble de ses mandants l'acquittement -, il ne peut être exclu qu'à un moment donné l'un des prévenus ne tente de reporter ou de diminuer sa propre culpabilité sur les autres (ATF 141 IV 257 consid. 2.1 pp. 260/261 et les arrêts cités). Cela étant, le Tribunal fédéral a eu l'occasion de rappeler, dans deux arrêts récents, que la représentation conjointe, même en procédure pénale, n'est pas d'emblée interdite. La première affaire concernait deux individus prévenus de faux dans les titres et d'obtention frauduleuse d'une prestation pour avoir falsifié des fiches de salaire dans le but d'obtenir des crédits (ATF 1B_263/2016 du 4 octobre 2016). La seconde se rapportait à deux frères et un de leur cousin ayant agressé violemment trois personnes. Des plaintes pour lésions corporelles simples et voies de fait avaient été déposées par les victimes (ATF 1B_354/2016 du 1 er novembre 2016). Dans ces deux affaires, les coprévenus étaient défendus par un seul avocat. Le Tribunal fédéral a affirmé que le risque de conflit d'intérêts purement abstrait ne suffit pas, le risque doit être concret. Il n'est toutefois pas nécessaire que le risque concret se soit réalisé et que l'avocat ait déjà exécuté son mandat de façon critiquable ou à la défaveur de son client. Toutefois, dès qu'un problème surgit, l'avocat doit mettre fin aux mandats de tous les clients concernés (ATF 135 II 145 consid 9.1 pp. 154/155; 134 II 108 consid. 4.2 pp. 111 ss et les références citées). En matière pénale, la représentation conjointe peut être admise si tout risque d'intérêts contradictoires peut être exclu d'emblée. Autrement dit, il doit y être renoncé s'il est prévisible qu'un conflit intervienne (François Bohnet, Droit des professions judiciaires, Bâle 2014, p. 57). Parfois, des raisons d'économie de procédure, de rentabilité et d'égalité des armes postulent en faveur d'une représentation conjointe si le récit des faits des coprévenus est identique et exempt de toute contradiction et que leurs intérêts ne divergent aucunement (ATF 134 II 108 consid. 4.2.4 p. 113; 1B_263/2016 du 4 octobre 2016; 1B_613/2012 du 29 janvier 2013 consid. 2.2; 1B_7/2009 du 16 mars 2009 consid. 5.8). b) En l'espèce, l'affaire pénale ******** concerne deux prévenus – initialement plaignants – renvoyés devant le tribunal de police pour avoir falsifié leurs feuilles horaires en notant des heures de travail qu'ils n'auraient jamais effectuées. Au lieu de terminer leur tournée de ramassage des déchets, les deux prévenus, qui travaillaient toujours ensemble, auraient laissé le conducteur du camion-poubelles pour qu'il effectue seul le reste du travail. Les prévenus ont été mis en cause conjointement par leur ancien employeur, par le dépôt d'une plainte pénale où ils sont cités ensemble, indistinctement. Les prévenus n'ont jamais été entendus par le Ministère public, qui ne s'est pas opposé à leur représentation conjointe par le recourant. L'acte d'accusation ne procède à aucune différenciation entre les accusés, hormis pour le nombre d'heures qui auraient été inscrites en trop, soit 46 heures pour B.________ et 39,5 heures pour C.________. Ces derniers sont à chaque fois désignés par "B.________ et C.________ " ou les "prévenus" sans que l'on puisse distinguer si certains faits auraient été commis par l'un ou par l'autre. Les prévenus ont été entendus pour la première fois lors de l'audience de jugement du 23 avril 2016. La Présidente du Tribunal d'arrondissement n'a pas souhaité les auditionner séparément. Leurs déclarations sont exemptes de toute contradiction, B.________, interrogé en second, ayant déclaré qu'il confirmait ce qu'avait dit C.________. La volonté délictuelle et les intérêts des prévenus dans la cause sont identiques. Enfin, ils ont tous deux été acquittés par jugement du 24 janvier 2017, qui, une fois encore, ne distingue ni les faits, ni la culpabilité des coprévenus. Ni la loi, ni la jurisprudence fédérale n'interdit d'emblée la représentation de coprévenus dans une même affaire pénale. Or le cas d'espèce constitue typiquement une situation où la représentation conjointe devrait être autorisée, notamment par souci d'économie de procédure. Considérant leur première position de plaignants dans cette affaire, les intérêts des clients du recourant se rejoignaient, étant accusés, entre autres, de dénonciation calomnieuse en raison de leur plainte commune à l'encontre de la Municipalité ******** et de son syndic. Il n'existait, d'entrée de cause, pas de risque concret que l'un des coprévenus tente de rejeter sa culpabilité sur l'autre. L'avocat, qui s'était certainement déjà entretenu à plusieurs reprises avec ses clients, a pu procéder à une évaluation de ce risque. Si, en cours de procédure, les positions de ses clients étaient devenues divergentes, l'avocat aurait dû se défaire des deux mandats. La Chambre des avocats a omis d'examiner concrètement le risque de conflit d'intérêts. Elle a considéré à tort que la seule configuration, selon laquelle le recourant avait été l'avocat de B.________ et C.________, alors partie plaignante, puis qu'il était devenu leur défenseur lorsque ceux-ci ont été accusés, " créait alors un risque concret de conflit d'intérêts. " Cette appréciation est erronée. Elle repose sur une critique doctrinale de l'ATF 134 II 108 dans lequel le Tribunal fédéral considère que le fait pour un avocat de représenter à la foi l'assureur et son assuré dans un procès en responsabilité civile contre un tiers ne viole pas nécessairement l'art. 12 let. c LLCA (Stéphane Grodecki/Nicolas Jeandin, Approche critique de l'interdiction de postuler chez l'avocat aux prises avec un conflit d'intérêts, in SJ 2015 II 107, p. 111). Ces règles jurisprudentielles ayant été confirmées dans deux arrêts récents concernant des affaires pénales, cette approche critique n'est pas en harmonie avec la jurisprudence fédérale. Partant, il sied de constater que le recourant n'a pas violé son obligation professionnelle prévue par l'art. 12 let. c LLCA. On ne peut lui reprocher de ne pas avoir respecté l'injonction de la Présidente du Tribunal d'arrondissement lui demandant de se défaire de ses mandats jusqu'au prononcé d'une décision formelle dans ce sens.</w:t>
      </w:r>
    </w:p>
    <w:p>
      <w:r>
        <w:rPr>
          <w:b/>
        </w:rPr>
        <w:t>E. 3.2</w:t>
      </w:r>
    </w:p>
    <w:p>
      <w:r>
        <w:t>p. 276) et non seulement les autorités judiciaires au sens strict (ATF 2A.448/2003 du 3 août 2004 consid. 3). L'avocat, qui peut se prévaloir de la liberté d'opinion ( art. 16 Cst. ), dispose d'une grande liberté pour critiquer l'administration de la justice, tant qu'il le fait dans le cadre de la procédure, que ce soit dans ses mémoires ou à l'occasion de débats oraux. Il y a un intérêt public à ce qu'une procédure se déroule conformément aux exigences d'un Etat fondé sur le droit. En fonction de cet intérêt public, l'avocat a le devoir et le droit de relever les anomalies et de dénoncer les vices de la procédure. Le prix à payer pour cette liberté de critiquer l'administration de la justice consiste à s'accommoder de certaines exagérations (dans ces sens: ATF 131 IV 154 consid. 1.3.2 p. 158; 130 II 270 c. 3.2.2 p. 278). Si l'avocat se voit interdire une critique non fondée, il ne lui est plus possible de présenter sans risque une critique éventuellement fondée. Si, après examen, les griefs soulevés se révèlent non fondés, cela n'est pas un motif en soi suffisant pour infliger une peine disciplinaire. L'avocat n'agit contrairement à ses devoirs professionnels et, partant, de façon inadmissible, que s'il formule des critiques de mauvaise foi ou dans une forme attentatoire à l'honneur, au lieu de se limiter à des allégations de fait et à des appréciations. Les affirmations tenues en dehors de toute procédure, notamment les déclarations publiques, sont quant à elles soumises à des exigences plus strictes ( ATF 106 Ia 100 consid. 8b p. 107 ss). De plus, l'obligation de diligence interdit à l'avocat d'entreprendre des actes qui pourraient nuire aux intérêts de son client ( ATF 131 IV 154 consid. 1.3.2 p. 158). Pour qu'un comportement tombe sous le coup de l'art. 12 let . a LLCA , il suppose toutefois l'existence d'un manquement significatif aux devoirs de la profession (cf. ATF 2C_878/2011 du 28 février 2012 consid. 5.1; 2C_452/2011 du 25 août 2011 consid. 5.1 et les références citées). b) Le fait de s'être opposé aux injonctions de la Présidente du Tribunal d'arrondissement ne constitue pas, à lui seul, une violation de l'obligation de diligence de l'avocat. Avant le prononcé d'une décision définitive et exécutoire, l'avocat pouvait contester un ordre qu'il estimait injustifié. Le recourant aurait cependant dû solliciter le prononcé d'une décision formelle, attaquable par les voies légales, au lieu de réagir comme il l'a fait par courrier du 28 avril 2016. Dans le courrier en question, le recourant critique d'une manière générale l'arrêt du Tribunal fédéral cité par la Présidente du Tribunal d'arrondissement pour justifier l'obligation de l'avocat de se défaire de ses mandats. Le recourant débute sa missive en mettant en cause l'indépendance des magistrats nommés par les partis politiques. Il écrit, sur le ton de l'ironique, que " lorsqu'une cause leur est soumise et que dans cette cause apparaît une personne ou une autre appartenant à leur parti politique ou à un parti adverse, il est évident que ces magistrats sont tellement intègres et si bien formés que cela n'a aucune influence quelconque sur leur raisonnement ". Puis, le recourant s'en prend au Procureur chargé de la conduite de la procédure préliminaire et à Me E.________, conseil adverse, indiquant que ses clients se sont étonnés du fait que la représentation conjointe soit autorisée pour les plaignants et qu'il leur a rétorqué que " Me E.________ était d'essence divine puisqu'il était membre du Grand Conseil ". L'avocat continue en s'interrogeant sarcastiquement sur la manière dont fonctionne " le système ". Il poursuit, en se référant aux membres de la Municipalité avec la phrase: " On sait, en général, que les élus ne sont pas forcément courageux ". Enfin, il met en cause ses confrères auxquels il aurait tenté de référer ses clients et qui auraient refusé les mandats au motif, implicite, qu'ils ne souhaitaient pas plaider à l'assistance judiciaire gratuite. Le ton utilisé et les termes choisis dans ce courrier sont pour le moins inconvenants. Alors que la Présidente du Tribunal d'arrondissement s'était contentée de soulever légitimement une problématique concernant la représentation de deux prévenus dans le cadre d'une procédure pénale, le recourant y a répondu en remettant en cause la probité de la juge en laissant entendre qu'elle se laissait influencer par des considérations politiques. Quoi qu'il en dise, il a ainsi mis en doute les compétences professionnelles de l'intéressée. Par sa critique de Me E.________ et du Procureur, le recourant a insinué qu'il existerait une connivence générale entre les magistrats et les avocats élus au Grand Conseil, alors qu'il ne disposait d'aucune preuve à cet égard. Ses propos sont offensants et manifestement impertinents pour l'affaire en question. Cette attitude de l'avocat dessert les intérêts de ses clients. Bien qu'il explique avoir été frustré par le fait que la double représentation des plaignants ait été permise, alors que celle des prévenus avait été refusée, rien n'autorisait l'avocat à s'exprimer dans des termes aussi virulents. En outre, l'avocat ne pouvait ignorer que la représentation conjointe de deux coprévenus soulevait des questions différentes que la représentation de deux plaignants. Le fait que le Ministère public ait mis plus de trois ans pour instruire la plainte de ses clients, qui s'est finalement soldée par une ordonnance de classement, ne permettait pas au recourant de remettre en cause l'intégralité du " système ". Affubler de l'épithète de " peu courageux " les membres de la Municipalité était également inutilement désobligeant. La remarque du recourant quant à ses confrères est attentatoire à leur dignité, considérant que l'art. 12 let. g LLCA prévoit l'obligation pour l'avocat d'accepter les défenses d'office et les mandats d'assistance judiciaire dans le canton au registre duquel il est inscrit. Examiné dans son ensemble, un tel comportement dépasse ce qui peut être admis d'un avocat dans sa relation avec une autorité judiciaire. Que ces échanges n'aient pas été publics n'y change rien. Est par contre une circonstance aggravante le fait qu'ils aient été tenus non pas oralement dans le feu d'une séance mais par écrit, mode d'expression qui laisse en règle générale l'opportunité de la réflexion et de la mesure des mots employés (RDAT 2001 II 10 44, 2P.212/2000 consid. 3b). Compte tenu de ce qui précède, il y a bien eu violation du devoir de diligence de l'art. 12 let. a LLCA.</w:t>
      </w:r>
    </w:p>
    <w:p>
      <w:r>
        <w:rPr>
          <w:b/>
        </w:rPr>
        <w:t>E. 4</w:t>
      </w:r>
    </w:p>
    <w:p>
      <w:r>
        <w:t>Cela étant, la Chambre des avocats a considéré que le recourant avait violé son obligation de diligence par la manière dont il s'est adressé à la Présidente du Tribunal d'arrondissement, notamment dans son courrier du 28 avril 2016. a) L' art. 12 let. a LLCA dispose que l'avocat exerce sa profession avec soin et diligence. Cette disposition constitue une clause générale, qui ne se limite pas aux rapports professionnels de l'avocat avec ses clients, mais qui englobe ceux avec ses confrères, ainsi qu'avec toutes les autorités ( ATF 130 II 270 consid.</w:t>
      </w:r>
    </w:p>
    <w:p>
      <w:r>
        <w:rPr>
          <w:b/>
        </w:rPr>
        <w:t>E. 5</w:t>
      </w:r>
    </w:p>
    <w:p>
      <w:r>
        <w:t>p. 445). L'art. 13 al. 1 LLCA dispose en outre que l'avocat est soumis au secret professionnel pour toutes les affaires qui lui sont confiées par ses clients dans l'exercice de sa profession; cette obligation n'est pas limitée dans le temps et est applicable à l'égard des tiers. b) Le recourant invoque une inégalité de traitement en ce sens que sa situation ne serait pas différente de celle de ses confrères qui utilisent des adresses électroniques avec un nom de domaine fourni par une entreprise tierce (gmail, outlook, citycable, bluewin, yahoo, etc.). L'externalisation du serveur pourrait dans ces cas être reprochée à la majorité des avocats exerçant dans le Canton de Vaud. Tel que justement relevé par le recourant, si la Chambre des avocats voulait garantir une indépendance et un secret professionnel absolus, elle devrait vérifier que chaque étude ait la maîtrise physique des serveurs et qu'aucune ne loue des espaces sur Internet comme il est moins coûteux et très courant de le faire. A cela s'ajoute que l'entretien des infrastructures électroniques est immanquablement assuré par des informaticiens externes mandatés par les avocats. L'adresse électronique "********" est une adresse personnelle. Les courriels qui s'y trouvent ne peuvent être consultés qu'après avoir entré plusieurs mots de passe. Les organes de F.________ n'y ont pas accès. Cette situation, semblable à celle d'une partie de ses confrères, ne constitue pas une violation de l'obligation du recourant de garantir son indépendance organisationnelle (art. 8 al. 1 let. d LLCA) et de préserver le secret professionnel (art. 13 LLCA).</w:t>
      </w:r>
    </w:p>
    <w:p>
      <w:r>
        <w:rPr>
          <w:b/>
        </w:rPr>
        <w:t>E. 6</w:t>
      </w:r>
    </w:p>
    <w:p>
      <w:r>
        <w:t>Retenant la gravité des atteintes sanctionnées, le cumul des violations et l'absence de toute prise de conscience de la part du recourant, l'autorité intimée a prononcé une interdiction de pratiquer d'une durée de six mois à son encontre, en application de l'art. 17 LLCA. a) L’art. 17 LLCA donne à l’autorité de surveillance la compétence de prononcer une sanction disciplinaire en cas de violation de la loi, à savoir notamment l’avertissement, le blâme, une amende de 20'000 fr. au plus, l’interdiction temporaire de pratiquer pour une durée maximale de deux ans et l’interdiction définitive de pratiquer. L’autorité de surveillance dispose d’un grand pouvoir d'appréciation en matière disciplinaire. Il n’appartient pas à la Cour de céans de revoir cette appréciation lorsque l’usage qu’en a fait l’autorité de surveillance n’est ni abusif ni excessif. Le Tribunal cantonal doit contrôler le respect du principe de proportionnalité, mais la fixation du type et l’intensité de la sanction disciplinaire ressortissent essentiellement à l’autorité de surveillance. La Cour de céans doit s’imposer une retenue dans le contrôle du choix de la mesure disciplinaire. L’autorité de recours ne peut intervenir que si la sanction prononcée outrepasse le cadre du pouvoir d’appréciation et apparaît clairement disproportionnée (ATF 2P.318/2006 du 27 juillet 2007 consid. 12.1). La mesure disciplinaire n'a pas pour but premier d'infliger une peine, mais de maintenir l'ordre à l'intérieur du groupe de personnes auquel il s'applique et, s'agissant des professions libérales, d'assurer l'exercice correct de la profession et de préserver la confiance du public à l'égard des personnes qui l'exercent (ATF 2A.448/2003 du 3 août 2004, consid. 1.4; ATF 108 Ia 230 consid. 2 b p. 232, 316 consid. 5 b p. 321). Une interdiction (temporaire) de pratiquer est la sanction disciplinaire la plus grave. Elle n’est en principe admissible qu’en cas de récidive, lorsqu’il apparaît que des mesures moins incisives ne sont pas aptes à amener la personne concernée à respecter les règles professionnelles (ATF 2P.318/2006 du 27 juillet 2007 consid. 12.1). b) En l'espèce, il est impossible pour la Cour de céans de connaître dans quelle mesure les violations de l'obligation d'éviter tout conflit d'intérêts et de préserver le secret professionnel constatées à tort par l'autorité intimée ont pesé dans la balance pour la fixation de la sanction disciplinaire. La cause devra par conséquent lui être renvoyée pour qu'elle prononce une sanction compatible avec la seule violation de l'obligation de diligence du recourant relative à son courrier du 28 avril 2016.</w:t>
      </w:r>
    </w:p>
    <w:p>
      <w:r>
        <w:rPr>
          <w:b/>
        </w:rPr>
        <w:t>E. 7</w:t>
      </w:r>
    </w:p>
    <w:p>
      <w:r>
        <w:t>a) Les considérants qui précèdent conduisent à l'admission partielle du recours et à l'annulation de la décision attaquée, le dossier étant retourné à la Chambre des avocats pour qu'elle rende une nouvelle décision dans le sens des considérants. b) Le recourant ayant partiellement obtenu gain de cause, il se justifie réduire le montant des frais judiciaires mis à sa charge à 500 fr. (art. 49 al. 1, 52 al. 1 et 99 de la loi du 28 octobre 2008 sur la procédure administrative [LPA-VD; RSV 173.36]). Le recourant peut également prétendre à des dépens réduits de la part de l'Etat qui seront fixés à 1'500 fr. (art. 55, 56 al. 2 et 3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