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GE.2017.0052 vom 6. November 2017</w:t>
      </w:r>
    </w:p>
    <w:p>
      <w:r>
        <w:t>VD Tribunal cantonal, 2017-11-06, FR</w:t>
      </w:r>
    </w:p>
    <w:p>
      <w:r>
        <w:rPr>
          <w:b/>
        </w:rPr>
        <w:t xml:space="preserve">Quelle: </w:t>
      </w:r>
      <w:r>
        <w:t>https://mcp.opencaselaw.ch/entscheid/vd_omni_GE.2017.0052</w:t>
      </w:r>
    </w:p>
    <w:p>
      <w:r>
        <w:t>FR: VD_OMNI GE.2017.0052 du 6 novembre 2017</w:t>
      </w:r>
    </w:p>
    <w:p>
      <w:r>
        <w:t>IT: VD_OMNI GE.2017.0052 del 6 novembre 2017</w:t>
      </w:r>
    </w:p>
    <w:p>
      <w:pPr>
        <w:pStyle w:val="Heading2"/>
      </w:pPr>
      <w:r>
        <w:t>Regeste</w:t>
      </w:r>
    </w:p>
    <w:p>
      <w:r>
        <w:t>A.________, B.________/Association régionale pour l'action sociale Morges-Aubonne-Cossonay, Association C.________ | Recours de parents contre une décision d'une association de communes confirmant un montant exigé en sus, à titre rétroactif, par la structure d'accueil préscolaire fréquentée par leur fille de 2012 à 2015 (structure rattachée à un réseau d'accueil de jour créé à titre de but optionnel de l'association de communes précitée). Certificats de salaire des parents permetttant de constater que les revenus réalisés durant ces années étaient supérieurs à ceux retenus pour le calcul de la contribution mensuelle. La norme de délégation s'agissant du tarif dont les réseaux d'accueil de jour doivent se doter (qui a valeur de règle de droit pour les parents) comprend la compétence implicite de rendre des décisions en application de ce tarif; l'autorité intimée était ainsi fondée à rendre la décision attaquée, fondée sur le droit public. Cette décision est au demeurant suffisamment motivée,les recourants disposant de toutes les bases de calcul et données utiles leur permettant de comprendre la manière dont les montants exigés à titre rétroactif ont été calculés. Recours rejeté.</w:t>
      </w:r>
    </w:p>
    <w:p>
      <w:pPr>
        <w:pStyle w:val="Heading2"/>
      </w:pPr>
      <w:r>
        <w:t>Erwägungen</w:t>
      </w:r>
    </w:p>
    <w:p>
      <w:r>
        <w:rPr>
          <w:b/>
        </w:rPr>
        <w:t>E. 1</w:t>
      </w:r>
    </w:p>
    <w:p>
      <w:r>
        <w:t>Les collectivités publiques, les partenaires privés, les structures d'accueil collectif et les structures de coordination d'accueil familial de jour, satisfaisant aux conditions de la présente loi, peuvent constituer un réseau d'accueil de jour.</w:t>
      </w:r>
    </w:p>
    <w:p>
      <w:r>
        <w:rPr>
          <w:b/>
        </w:rPr>
        <w:t>E. 2</w:t>
      </w:r>
    </w:p>
    <w:p>
      <w:r>
        <w:t>En principe, un réseau d'accueil de jour comprend au moins une commune.</w:t>
      </w:r>
    </w:p>
    <w:p>
      <w:r>
        <w:rPr>
          <w:b/>
        </w:rPr>
        <w:t>E. 3</w:t>
      </w:r>
    </w:p>
    <w:p>
      <w:r>
        <w:t>Les constituants d'un réseau d'accueil de jour en fixent librement l'organisation et le statut juridique, et notamment les conditions d'adhésion des futurs membres.</w:t>
      </w:r>
    </w:p>
    <w:p>
      <w:r>
        <w:rPr>
          <w:b/>
        </w:rPr>
        <w:t>E. 4</w:t>
      </w:r>
    </w:p>
    <w:p>
      <w:r>
        <w:t>Les recourants soutiennent encore que la décision attaquée n'aborde pas la question de l'intolérance au lactose dont souffre leur fille, alors que ce point était mentionné dans les écritures civiles. Ils invoquent une constatation arbitraire des faits. Le présent litige est circonscrit à la question de la facturation aux recourants, à titre rétroactif, d'un montant de 4'860.30 fr. Sortant du cadre de la décision attaquée, qui détermine l'objet du litige (ATF 136 V 362 consid. 3.4.2; 134 V 418 consid. 5.2.1), la problématique liée à la santé de la fille des recourants n'a pas à être traitée dans le cadre du présent arrêt.</w:t>
      </w:r>
    </w:p>
    <w:p>
      <w:r>
        <w:rPr>
          <w:b/>
        </w:rPr>
        <w:t>E. 5</w:t>
      </w:r>
    </w:p>
    <w:p>
      <w:r>
        <w:t>Les considérants qui précèdent conduisent au rejet du recours et à la confirmation de la décision attaquée. Succombant, les recourants supporteront les frais de la cause et n'ont pas droit à des dépens (art. 49, 55, 91 et 99 LPA-VD). Ils verseront en outre des dépens aux intimées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