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GE.2017.0043 vom 12. Oktober 2018</w:t>
      </w:r>
    </w:p>
    <w:p>
      <w:r>
        <w:t>VD Tribunal cantonal, 2018-10-12, FR</w:t>
      </w:r>
    </w:p>
    <w:p>
      <w:r>
        <w:rPr>
          <w:b/>
        </w:rPr>
        <w:t xml:space="preserve">Quelle: </w:t>
      </w:r>
      <w:r>
        <w:t>https://mcp.opencaselaw.ch/entscheid/vd_omni_GE.2017.0043</w:t>
      </w:r>
    </w:p>
    <w:p>
      <w:r>
        <w:t>FR: VD_OMNI GE.2017.0043 du 12 octobre 2018</w:t>
      </w:r>
    </w:p>
    <w:p>
      <w:r>
        <w:t>IT: VD_OMNI GE.2017.0043 del 12 ottobre 2018</w:t>
      </w:r>
    </w:p>
    <w:p>
      <w:pPr>
        <w:pStyle w:val="Heading2"/>
      </w:pPr>
      <w:r>
        <w:t>Regeste</w:t>
      </w:r>
    </w:p>
    <w:p>
      <w:r>
        <w:t>A.________, B.________/Municipalité de Lausanne | Refus de la Municipalité de Lausanne d'autoriser la pose de bornes numériques publicitaires. Question laissée indécise de savoir si la municipalité a violé le droit d'être entendu en indiquant un motif essentiel de son refus pendant la procédure de recours (c. 3). Question également laissée indécise de savoir si la municipalité pouvait statuer à la place de son service, formellement compétent selon le règlement communal (c. 4). La limitation des émissions lumineuses, y compris dans des lieux déjà fortement urbanisés et éclairés, répond à un intérêt public. En l'espèce, la municipalité n'a pas abusé de sa - large - latitude d'appréciation en considérant que l'intérêt public à limiter les émissions lumineuses, à préserver la qualité du quartier concerné en renonçant à une forme de diffusion de publicité particulièrement invasive et à éviter des entraves supplémentaires aux déambulations des piétons, l'emporte sur l'intérêt privé des recourantes, notamment économique, à poser les bornes litigieuses (c. 6). Recours rejeté. Recours au TF admis et cause renvoyée à la Direction communale (2C_1016/2018 du 5 juin 2019).</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le refus de la municipalité d’autoriser l'installation de quatre panneaux d'affichage publicitaires numériques dans le quartier du ********, à Lausanne, d'une hauteur hors sol de 240 cm et d'une largeur de 114 cm, la surface d'affichage elle-même étant de 165 cm sur 93 cm.</w:t>
      </w:r>
    </w:p>
    <w:p>
      <w:r>
        <w:rPr>
          <w:b/>
        </w:rPr>
        <w:t>E. 3</w:t>
      </w:r>
    </w:p>
    <w:p>
      <w:r>
        <w:t>octobre 2016 consid. 3.1 et les références). b) En l'espèce, la décision attaquée cite les principaux fondements juridiques sur lesquels s'est basée la municipalité pour statuer. Elle explique de façon circonstanciée les motifs qui ont amené l'autorité intimée à refuser l'autorisation requise. Toutefois, elle se limite à exposer qu'il ne lui paraît pas opportun d'admettre un nouveau type de support et de diffusion d'affichage sur le domaine privé avant la fin de la procédure engagée auprès du Tribunal fédéral, sans indiquer clairement que la municipalité n'était de toute façon pas favorable, sur le principe, au type d'affichage proposé. Ce volet essentiel de sa motivation n'est apparu que dans la procédure de recours. Une violation du droit d'être entendu des recourantes n'est ainsi pas d'emblée exclue. Cette question peut toutefois rester ouverte, le vice éventuel ayant de toute façon été réparé pendant la procédure de recours, où les recourantes ont pu s'exprimer à loisir.</w:t>
      </w:r>
    </w:p>
    <w:p>
      <w:r>
        <w:rPr>
          <w:b/>
        </w:rPr>
        <w:t>E. 4</w:t>
      </w:r>
    </w:p>
    <w:p>
      <w:r>
        <w:t>Les recourantes font valoir que la municipalité intimée n'était pas compétente pour rendre la décision attaquée, seule la Direction des finances et de la mobilité étant légitimée à le faire. a) La loi vaudoise du 6 décembre 1988 sur les procédés de réclame (LPR; RSV 943.11) s'applique à tous les procédés de réclame de quelque nature qu'ils soient, perceptibles à l'extérieur par le public (cf. art. 3 al. 1 LPR). Elle est complétée par un règlement d'application adopté par le Conseil d'Etat le 31 janvier 1990 (RLPR; RSV 943.11.1). La municipalité est chargée de l'application de la LPR et de ses dispositions d'exécution sur tout le territoire communal (cf. art. 23, 1 ère phrase, LPR). L'apposition, l'installation, l'utilisation ou la modification d'un procédé de réclame est soumise à une autorisation préalable (cf. art. 6 al. 1 LPR). Les communes peuvent édicter, en matière de procédés de réclame, un règlement communal d'application de la loi, destiné à assurer la protection des sites et des monuments, le repos public et la sécurité de la circulation des piétons et des véhicules (art. 18 al. 1 LPR). La Commune de Lausanne a fait usage de cette faculté en adoptant le règlement du 8 mars 1994 sur les procédés de réclame (ci-après: le règlement communal). Selon l'art. 5 al. 1 de ce règlement, sauf exceptions prévues par la loi et pour les affiches mises sur des emplacements dûment autorisés, la pose ou la modification de procédés de réclame doit faire l’objet d’une demande adressée à la Direction des travaux (aujourd'hui la Direction des finances et de la mobilité). L'art. 2 al. 2 du règlement communal prévoit que, sauf disposition contraire, la Direction est, sous réserve de recours à la municipalité, l’autorité compétente au sens de la LPR et du RLPR . L'art. 25 al. 1 du règlement communal dispose enfin que les décisions prises par la Direction en vertu du présent règlement peuvent faire l’objet d’un recours à la municipalité, conformément à l’art. 18 du règlement général de police. b) En l'occurrence, la municipalité convient que la compétence décisionnelle en matière de pose de procédés de réclame ressortit généralement à la Direction, mais considère qu’en sa qualité d’autorité de recours hiérarchiquement supérieure, elle pouvait se substituer à ce service, ce d’autant plus en présence d’une question de principe. Pour les recourantes, le procédé adopté par la municipalité constitue une violation du principe du juge naturel. Elles estiment que la municipalité, expressément désignée comme autorité de recours par le règlement communal, ne pouvait se permettre de statuer immédiatement, tout comme le Tribunal cantonal ne pourrait se substituer à elle. c) A lire l'art. 2 al. 2 du règlement communal, sauf disposition contraire, la Direction est l'autorité compétente pour trancher en première instance les demandes formulées en matière de procédés de réclame, la municipalité ne devant intervenir qu'au titre d'autorité de recours. En l'espèce, la municipalité a justifié sa saisine par le fait qu'il s'agissait d'une "question de principe". Elle n'a toutefois pas désigné - et on ne la discerne pas - la "disposition contraire" au sens de l'art. 2 al. 2 du règlement communal, qui viserait un tel motif de dérogation. Force est ainsi de retenir que la municipalité s'est ici saisie d'une compétence sans base légale ou réglementaire claire. Cela étant, la municipalité constitue l'autorité de recours hiérarchiquement supérieure à la Direction. L'autorité hiérarchiquement supérieure peut être habilitée selon les circonstances à "évoquer" un pouvoir décisionnel réservé à l'autorité inférieure, c’est-à-dire exercer elle-même les attributions de cette autorité. En principe, le pouvoir d'évocation ne doit être exercé qu'à titre exceptionnel, lorsque cela est nécessaire au respect de la loi. On vise par là des hypothèses où l'office inférieur lui-même viole la légalité et où l'évocation est seule à même d'y porter remède: tel est le cas lorsque, tenue d'agir, l'autorité reste passive, ou bien manifeste clairement son intention d'agir illégalement. L'exclusion de principe de l'évocation a une justification pratique: d'une part, lorsque l'autorité supérieure a la fonction d'autorité de recours, en se substituant à l'autorité compétente, elle supprime en fait une possibilité de contrôle pourtant prévue par l'ordonnancement du contentieux; d'autre part, l'autorité de première instance connaît mieux la pratique qu'une autorité dont la fonction première est le contrôle. Le pouvoir d'évocation est exclu d'emblée si les actes de l'autorité compétente sont susceptibles de recours alors que ceux de l'autorité supérieure ne le sont pas (Pierre Moor, Droit administratif, vol. III, 2 ème éd., Berne 2018, ch. 1.2.3.6 et les références; voir aussi Thierry Tanquerel, Manuel de droit administratif, Genève/Zurich/Bâle 2011, n. 124, et GE.2004.0100 du 23 février 2005 consid. 1a). Pour sa part, la Cour de céans a considéré que, conformément à l'adage "qui peut le plus, peut le moins", la municipalité pouvait se substituer dans certains cas de figure à l'autorité inférieure pour décider à sa place, même si aucune disposition expresse ne lui conférait la compétence de rendre une décision (cf. CDAP GE.2013.0090 du 29 juin 2015 consid. 3, confirmé par TF 2C_597/2015 du 2 février 2016; CDAP GE.2013.0162 consid. 2 et les références). On relèvera par ailleurs qu'il est toujours possible à l'autorité supérieure d'adresser à l'autorité inférieure des instructions sur une décision à prendre (sauf lorsque l'autorité inférieure jouit d'une certaine liberté d'appréciation directement en vertu de la loi qui lui confère ses compétences). L'intéressé peut ensuite recourir directement auprès de l'autorité devant laquelle la décision de l'autorité supérieure devrait être ordinairement contestée: il "saute" ainsi une instance dont on peut penser qu'il est inutile d'obtenir un prononcé, puisque sa position est déjà connue (Moor, op. cit., ch. 1.2.3.5 let. b). Dans le cas présent, il s'agissait, comme le relève l'autorité intimée, de trancher une question de principe, soit celle de savoir quel sort réserver aux demandes d'autorisation de bornes d'affichage numériques en ville de Lausanne. Or, la municipalité reste, d'une manière générale, l'autorité chargée de l'application de la LPR et de ses dispositions d'exécution sur tout le territoire communal, conformément à l'art. 23 LPR. Aussi pourrait-on considérer qu'elle est habilitée à reprendre elle-même la compétence ici dévolue à l'entité inférieure, de manière à assurer d'emblée une position de principe en matière d'affichage digital. Cette argumentation n'est toutefois pas entièrement convaincante, dès lors qu'on ne voit pas en quoi l'évocation exercée serait nécessaire au respect de la loi, qu'un tel procédé a privé les recourantes d'une voie de recours, fut-elle hiérarchique, et qu'elle les a empêchées de bénéficier, cas échéant, d'une décision positive de l'autorité de première instance. La question souffre néanmoins de rester indécise, compte tenu du principe de l'économie de procédure. En effet, un renvoi de la cause à la Direction à ce stade n'aurait pour conséquence que de prolonger inutilement la procédure.</w:t>
      </w:r>
    </w:p>
    <w:p>
      <w:r>
        <w:rPr>
          <w:b/>
        </w:rPr>
        <w:t>E. 5</w:t>
      </w:r>
    </w:p>
    <w:p>
      <w:r>
        <w:t>Sur le fond, les recourantes reprochent à l'autorité intimée de leur avoir dénié l'autorisation d'installer des bornes d'affichage numériques pourtant conformes aux dispositions réglementaires applicables. Elles dénoncent une violation de leur liberté économique, respectivement des principes de la proportionnalité et de l'égalité de traitement. a) La pose de procédés de réclame est protégée par la liberté économique au sens de l'art. 27 Cst. (cf. par exemple CDAP GE.2008.0101 du 8 juin 2009 consid. 2a et les références). Celle-ci ne peut être restreinte qu'aux conditions de l'art. 36 Cst. L'atteinte doit ainsi être fondée sur une base légale, être justifiée par un intérêt public ou par la protection d'un droit fondamental d'autrui et être proportionnée au but visé. b) La LPR a pour but de régler l'emploi des procédés de réclame, afin d'assurer la protection des sites, le repos public et la sécurité de la circulation des piétons et des véhicules (art. 1 LPR). Sont interdits de façon générale tous les procédés de réclame qui par leur emplacement, leurs dimensions, leur éclairage, le genre des sujets représentés, leur motif ou le bruit qu'ils provoquent, nuisent au bon aspect ou à la tranquillité d'un site, d'un point de vue, d'une localité, d'un quartier, d'une voie publique, d'un lac ou d'un cours d'eau ou qui peuvent porter atteinte à la sécurité routière (art. 4 LPR). A Lausanne, l'art. 2 al. 1 du règlement communal sur les procédés de réclame prévoit que " La Municipalité peut édicter les propositions nécessaires à l’exécution du présent règlement ". L'autorité a fait usage de cette faculté et édicté des Directives relatives à l'affichage du 24 avril 2014, disposant notamment ce qui suit: " 1. Généralités La ville est en évolution permanente. Comme bien d’autres domaines, l’affichage doit pouvoir en tout temps s’adapter à l’évolution démographique, urbaine et architecturale de la ville, à la mobilité de ses usagers et à l’évolution des technologies de communication. Ainsi, les présentes directives se définissent comme un outil évolutif et adapté au domaine public. Elles se veulent également ouvertes sur les technologies d’affichage actuelles et futures. (…) " Aux termes de l'art. 17 LPR, les affiches ne sont autorisées que sur les emplacements et les supports spécialement désignés à cet effet, de façon permanente ou temporaire, par l'autorité compétente (al. 1). Les communes doivent autoriser un ou plusieurs emplacements si la demande leur en est faite (al. 2). Selon la jurisprudence, la règle de l'art. 17 al. 2 LPR n'impose qu'une obligation limitée (créer un ou quelques emplacements) et, une fois cette obligation remplie, l'autorité peut refuser "discrétionnairement" tout autre emplacement (TA GE.1992.0011 du 7 juin 1993 consid. 2a et les références, notamment le rappel des travaux préparatoires de la loi, Bulletin du Grand Conseil [BGC] automne 1988 pp. 461 ss, plus spécialement 477 et 503). Cette disposition ne confère pas à l'administré un droit à l'obtention d'une autorisation, en tout cas lorsqu'aucune disposition du règlement communal ne prévoit un tel droit. L'autorité municipale a le pouvoir de refuser une autorisation notamment lorsqu'elle estime qu'un secteur donné comporte déjà suffisamment d'emplacements d'affichage et que l'octroi de nouvelles autorisations entraînerait une dégradation de l'esthétique d'un quartier ou d'un secteur (cf. CDAP GE.2014.0117 du 20 novembre 2014 consid. 4a; CDAP GE.2010.0078 du 29 avril 2011 consid. 3ca et les références). Selon la jurisprudence, les communes vaudoises disposent d'une autonomie maintes fois reconnue en matière d'aménagement du territoire et de police des constructions (cf. notamment ATF 108 Ia 74 consid. 2b p. 76/77), en particulier lorsqu'il s'agit de savoir si une construction ou une installation est de nature à compromettre l'aspect ou le caractère d'un site, d'une localité, d'un quartier ou d'une rue (ATF 115 Ia 114 consid. 3d p. 118/119, 363 consid. 3b p. 367; arrêt TF P.265/1985 du 16 avril 1986 consid. 3 paru in RDAF 1987 p. 155). Il en va de même lorsque, saisies d'une demande d'autorisation d'installer des procédés de réclame relevant de leur compétence, elles doivent apprécier si, par leur emplacement, leur dimension, leur éclairage, le genre de sujets représentés, leur motif ou le bruit qu'ils provoquent, ils nuisent notamment au bon aspect ou à la tranquillité d'un site, d'un point de vue d'une localité, d'un quartier ou d'une voie publique (cf. arrêt GE.2010.0078 du 29 avril 2011 consid. 3c et les références). L'art. 4 LPR, qui consacre le principe général d'interdiction de tels procédés de réclame, s'inspire directement de l'art. 86 al. 2 de la loi du 4 décembre 1985 sur l'aménagement du territoire et des constructions (LATC; RSV 700.11) qui traite de l'esthétique des bâtiments et de leur intégration dans l'environnement. Les exigences posées par ces deux lois sont analogues (ATF 115 Ia 367; GE.2015.0059 du 18 février 2016 consid. 2 et les références; RDAF 1987, p. 155 précité; Droit vaudois de la construction, Lausanne, 1987, note 3 ad art. 86 LATC). L'existence d'un pouvoir discrétionnaire ne signifie toutefois pas que l'autorité est libre d'agir comme bon lui semble. La municipalité ne peut ni renoncer à exercer ce pouvoir, ni faire abstraction des principes constitutionnels régissant le droit administratif, notamment ceux de la légalité, de la bonne foi, de l'égalité de traitement, de la proportionnalité, de l'interdiction de l'arbitraire et du déni de justice. Dans l'exercice de son pouvoir d'appréciation, elle est notamment liée par les critères qui découlent du sens et du but de la réglementation applicable, de même que par les principes généraux du droit (ATF 107 Ia 202 consid. 3 et les références; 104 Ia 201 consid. 5g et les références; CDAP GE.2014.0117 du 20 novembre 2014 consid. 4a; TA GE.1998.0049 du 2 mai 2002 consid. 5 et les références; TA GE.1998.0058 du 1 er octobre 1998 consid. 4 et les références).</w:t>
      </w:r>
    </w:p>
    <w:p>
      <w:r>
        <w:rPr>
          <w:b/>
        </w:rPr>
        <w:t>E. 6</w:t>
      </w:r>
    </w:p>
    <w:p>
      <w:r>
        <w:t>a) La municipalité ne conteste pas la conformité du projet à la réglementation cantonale et communale. Elle justifie son refus par le fait qu'elle n'entend pas voir proliférer sur l'ensemble de son territoire le type d'affichage proposé par les recourantes. Il s'agirait en effet d'un procédé de réclame lumineux très invasif, engendrant un fort impact visuel, notamment en raison de la grandeur des écrans diffusant des images changeantes, d'autant que les bornes seraient en l'occurrence regroupées dans un périmètre relativement restreint. Il s’agit pour elle de limiter les procédés de réclame qui ont le plus d’impact sur leur environnement, soit ceux, comme en l'espèce, qui s’implantent à l’extérieur et sont particulièrement visibles. Elle relève qu'il reste toujours possible de pratiquer d'autres formes d'affichage, qui ont d'ailleurs déjà été largement autorisées tant sur le domaine public que sur le domaine privé. Aux yeux de la municipalité, une interdiction pure et simple de telles installations, y compris à la société SGA, concessionnaire sur le domaine communal, est le seul moyen pour lutter contre une pollution visuelle excessive, tout en respectant au mieux l'égalité de traitement entre les différents afficheurs, que ce soit sur le domaine privé ou public. Les bornes litigieuses ne pourraient être comparées aux panneaux numériques déjà existants sur le territoire communal, qui ne sont qu'au nombre de trois, sont bien plus petits, dépourvus d'écrans double face, ne présentent pas d'images changeantes et ne créent pas d' "effet cinéma". Quant aux autres bornes, implantées sur le domaine ferroviaire (Transports Lausannois ou CFF), elles échappent à son emprise. Elle estime enfin que la présence de ces panneaux numériques en ville suffirait largement, sans qu'il soit nécessaire d'en introduire de nouveaux. b) Pour leur part, l es recourantes allèguent que toutes les modifications requises par le chef de l'OSU ont été effectuées et que le projet amendé est ainsi conforme aux prescriptions légales, si bien que l'autorité intimée ne pouvait lui opposer un refus pour des considérations d'ordre général. Le refus litigieux lèserait également le principe de la bonne foi, dans la mesure où elles auraient longuement correspondu avec l'OSU pour se conformer à toutes ses exigences et qu’il était donc clair pour elles que la décision finale leur serait favorable. A leurs yeux, le fait que la municipalité ait elle-même décrété qu’elle ne voulait pas de telles bornes numériques serait ainsi inacceptable. Les recourantes considèrent que le refus irait à l'encontre des Directives communales relatives à l'affichage du 24 avril 2014, qui prévoient que "l'affichage doit pouvoir en tout temps s'adapter à l'évolution démographique, urbaine et architecturale de la ville, à la mobilité de ses usagers et à l'évolution des technologies de communication" et qui "se veulent […] ouvertes sur les technologies d'affichage actuelles et futures". Il serait possible de limiter la présence de telles installations à certains emplacements pour lutter contre une "pollution visuelle excessive", sans qu'il soit nécessaire de formuler une interdiction de principe. A l'heure actuelle, les citoyens auraient l'habitude d’avoir accès en tout temps à un écran affichant de la publicité. Dans la gare du métro, les panneaux digitaux seraient densément apposés; le public y serait ainsi de toute façon soumis et accoutumé lorsqu'il sort du métro pour accéder au quartier commercial du ********. Celui-ci, qui ne comporterait à ce jour qu'un seul panneau publicitaire visible à l'extérieur, se prêterait à une conception dynamique et serait le dernier endroit de la ville où il se justifierait d’être réfractaire. Les recourantes rappellent qu'au demeurant, il a été constaté lors de l'inspection locale que nombre de vitrines comportent des écrans et des affiches, de sorte que la pose de quatre panneaux dispersés à bonne distance les uns des autres sur l'ensemble du quartier, de quelque 55'000 m 2 , ne serait pas choquante. Il existerait une véritable demande pour de telles bornes numériques, dont l’objectif serait d’apporter une plus-value pour les visiteurs, par exemple en leur offrant la possibilité de rechercher un restaurant, les commodités ou d’autres services. Enfin, les panneaux numériques permettraient à la propriétaire de gérer plus simplement les publicités que les panneaux d'affichage traditionnels. Sous l'angle de l'égalité de traitement, les recourantes relèvent qu'il existe déjà plusieurs bornes numériques interactives en ville, utilisées à des fins touristiques, Les bornes déjà existantes dans la commune auraient été concédées à la SGA dans des lieux plus confinés. Enfin, toujours selon les recourantes, il aurait été loisible à l’autorité de négocier avec les Transports Lausannois et les CFF si elle tenait réellement à exclure toute borne publicitaire numérique sur l’entier de son territoire; à défaut, elle a placé la SGA dans une situation injustement privilégiée. c) aa) Les cantons et les communes peuvent réglementer l’affichage privé implanté sur le domaine public, et sur le domaine privé visible depuis le domaine public (ATF 128 I 295 consid. 8 p. 341 ss). Le quartier du ******** est certes formellement en mains privées, mais est fréquenté librement par le public à l'instar de tout autre quartier de la ville, de sorte qu'il est soumis à la réglementation communale. bb) Pour l'essentiel, la municipalité refuse la pose des bornes litigieuses au motif que celles-ci présentent un affichage lumineux excessivement invasif. La lumière artificielle se compose de rayons électromagnétiques, si bien qu'il s'agit d'atteintes au sens de l'art. 7 al. 1 de la loi fédérale du 7 octobre 1983 sur la protection de l'environnement (LPE; 814.01) qui sont dénommées émissions au sortir des installations et immissions au lieu de leur effet. Indépendamment des nuisances existantes, il importe, à titre préventif, de limiter les pollutions atmosphériques, le bruit, les vibrations et les rayons dans la mesure que permettent l'état de la technique et les conditions d'exploitation et pour autant que cela soit économiquement supportable (art. 11 al. 2 LPE) (ATF 140 II 214 consid. 3.3 p. 222; 140 II 33 consid. 4.2 p. 36; 124 II 219 consid. 7a p. 230). Diverses directives ont été émises à cet égard, à savoir les recommandations de l'Office fédéral de l'environnement (OFEV) pour la " Prévention des émissions lumineuses" (Berne 2005); la norme SIA 491 pour la " Prévention des émissions inutiles de lumière à l'extérieur ", en vigueur depuis le 1 er mars 2013, la Directive 150 de la Commission internationale de l'éclairage (CIE 150:2003), les " Indications pour la mesure, l'appréciation et l'abaissement des immissions lumineuses " éditées le 13 septembre 2012 par la Bund/Länder-Arbeitsgemeinschaft für Immissionsschutz (LAI; cf. TF 1C_216/2010 du 28 septembre 2010 consid. 2.2, reproduit in RDAF 2011 I p. 48) et enfin le rapport de l'OFEV du 29 novembre 2012, intitulé " Effets de la lumière artificielle sur la diversité des espèces et l'être humain ", adopté par le Conseil fédéral le 13 février 2013. Il ne fait ainsi pas de doute que la limitation des émissions lumineuses, y compris dans des lieux déjà fortement urbanisés et éclairés, tels que le quartier du ********, répond à un intérêt public. cc) S'agissant du respect du principe de la proportionnalité, il faut relever qu'en soi, l'affichage publicitaire, lumineux ou non, produit un impact visuel sur le public auquel il est difficile, voire impossible de se soustraire; c'est du reste son objectif. Il peut également constituer une entrave à la marche lorsqu'il est apposé non pas contre des murs mais en totem. L'impact visuel est d'autant plus fort lorsqu'il s'agit, comme en l'espèce, de procédés non seulement lumineux, mais encore à images mouvantes à un rythme rapide: le mouvement attire le regard, et l'attention. Enfin, le pouvoir de captation est encore renforcé lorsque l'écran est grand. Or, le projet litigieux propose quatre bornes de très grandes dimensions (hauteur hors sol de 240 cm, largeur de 114 cm, écran de 165 cm sur 93 cm), à double face, représentant au total huit écrans. Dans ces circonstances, l'intérêt public à limiter les émissions lumineuses, à préserver la qualité du quartier en renonçant à une forme de diffusion de publicité particulièrement invasive et à éviter des entraves supplémentaires aux déambulations des piétons, est assurément important. A titre d'intérêt privé, les recourantes font valoir que les bornes répondraient à un besoin, cet affichage interactif permettant, par exemple, d'offrir aux visiteurs du quartier du ******** la possibilité d'y rechercher un restaurant, des commodités ou d'autres services. Cet intérêt doit être relativisé, les recherches évoquées pouvant aisément être opérées par les téléphones intelligents dont sont désormais munis la grande majorité des visiteurs. En réalité, l'intérêt privé des recourantes est d'ordre pratique, un affichage numérique étant plus aisé à gérer qu'un affichage traditionnel, et d'ordre économique, à savoir d'obtenir des revenus de la location de l'emplacement, respectivement des annonces publicitaires. On rappelle à cet égard que les 5/6 èmes des projections diffusées par ces bornes seront des publicités. Dans ces conditions, et quand bien même l'intérêt privé des recourantes ne saurait être négligé, la municipalité n'a pas abusé de sa - large - latitude d'appréciation en considérant que l'intérêt privé des recourantes à poser les bornes en cause devait céder le pas devant l'intérêt public à éviter une telle forme de publicité. Enfin, le choix de la municipalité n'est pas en contradiction avec ses Directives relatives à l'affichage du 24 avril 2014: la volonté de s'ouvrir sur les technologies modernes d'affichage n'implique pas nécessairement l'acceptation de toute forme d'expression de ces technologies. dd) Sous l'angle de la bonne foi, il est constant que l'OSU a systématiquement réservé la décision de la municipalité, si bien que les recourantes pouvaient s'attendre à ce que ce prononcé ne soit pas nécessairement en leur faveur. ee) S'agissant de l'égalité de traitement, il appert que la municipalité n'entend pas autoriser, à quelque personne physique ou morale que ce soit, la pose d'affiches lumineuses à images mouvantes. Pour le surplus, elle a expliqué de manière suffisamment convaincante que sa compétence en matière d'affichage ne s'étendait pas aux territoires sous l'emprise des TL et des CFF. L'existence de tels affichages dans les surfaces hors de sa portée mais à proximité immédiate du quartier litigieux peut du reste confirmer la nécessité de limiter encore plus drastiquement ces éléments dans les aires relevant de sa compétence. Enfin, il est ressorti en cours de procédure que la municipalité avait finalement renoncé, lors de l'appel d'offres relatif à la concession d'affichage sur ses domaines public et privé, à exiger des soumissionnaires qu'ils incluent une offre digitale. Quant à la borne digitale sise sur l'esplanade du ********, dotée notamment d'un compte à rebours pour les jeux olympiques de la jeunesse en 2020, elle est certes plus grande que les bornes projetées, mais est apposée de manière temporaire et ne diffuse pas d'images défilantes. ff) En conclusion, la municipalité n'a pas abusé de son pouvoir d'appréciation en refusant d'accorder aux recourantes une autorisation d'affichage pour les quatre bornes numériques en cause.</w:t>
      </w:r>
    </w:p>
    <w:p>
      <w:r>
        <w:rPr>
          <w:b/>
        </w:rPr>
        <w:t>E. 7</w:t>
      </w:r>
    </w:p>
    <w:p>
      <w:r>
        <w:t>Vu ce qui précède, le recours doit être rejeté et la décision attaquée doit être confirmée. Les recourantes, qui succombent, n'ont pas droit à des dépens. En revanche, compte tenu des circonstances, il sera renoncé à mettre un émolument judiciaire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