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GE.2017.0013 vom 28. August 2017</w:t>
      </w:r>
    </w:p>
    <w:p>
      <w:r>
        <w:t>VD Tribunal cantonal, 2017-08-28, FR</w:t>
      </w:r>
    </w:p>
    <w:p>
      <w:r>
        <w:rPr>
          <w:b/>
        </w:rPr>
        <w:t xml:space="preserve">Quelle: </w:t>
      </w:r>
      <w:r>
        <w:t>https://mcp.opencaselaw.ch/entscheid/vd_omni_GE.2017.0013</w:t>
      </w:r>
    </w:p>
    <w:p>
      <w:r>
        <w:t>FR: VD_OMNI GE.2017.0013 du 28 août 2017</w:t>
      </w:r>
    </w:p>
    <w:p>
      <w:r>
        <w:t>IT: VD_OMNI GE.2017.0013 del 28 agosto 2017</w:t>
      </w:r>
    </w:p>
    <w:p>
      <w:pPr>
        <w:pStyle w:val="Heading2"/>
      </w:pPr>
      <w:r>
        <w:t>Regeste</w:t>
      </w:r>
    </w:p>
    <w:p>
      <w:r>
        <w:t>A.________/Service de l'emploi Contrôle du marché du travail | Violation du devoir de diligence de l'employeur en matière de police des étrangers. Bien qu'il se soit trouvé en vacances le jour du contrôle, le recourant a bénéficié dans les faits des services d'un employé sans autorisation de séjour, lequel a été mis à sa disposition, soit loué ou prêté, pour œuvrer pour son compte sur un chantier. Faute de s'être assuré que les employés qu'il laissait en charge des travaux étaient titulaires des autorisations nécessaires, le recourant a violé son devoir de diligence, ce qui constitue une infraction au droit fédéral des étrangers. Vu la récidive, le prononcé du rejet de toute demande d'admission de travailleurs étrangers pendant six mois est justifié, de même que la mise à sa charge des frais de contrôle.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Il est reproché au recourant d'avoir contrevenu aux dispositions de la loi fédérale du 16 décembre 2005 sur les étrangers (LEtr; RS 142.20) relatives à l'engagement d'étrangers en vue d'exercer une activité lucrative.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l'employeur, puisque avant d'engager un étranger, il doit s'assurer que celui-ci est autorisé à exercer une activité lucrative en Suisse en examinant son titre de séjour ou en se renseignant auprès des autorités compétentes. En outre, selon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Selon la jurisprudence rendue sous l'empire de la loi sur le séjour et l'établissement des étrangers, qui garde, pour l'essentiel, sa valeur sous l'empire de la loi sur les étrangers, la notion d'employeur est une notion autonome qui vise l'employeur de fait et ne se limite pas à celle du droit des obligations (ATF 128 IV 170 consid. 4.1; ATF 2C_357/2009 du 16 novembre 2009 consid. 4.2 et les références; arrêt PE.2013.0180/ PE.2013.0384 du 29 janvier 2014 consid. 1c). Celui qui bénéficie effectivement des services d'un travailleur est un employeur nonobstant l'intervention d'un intermédiaire. Il est indifférent que les parties soient liées par un contrat de travail écrit ou qu'une rémunération soit versée et par qui. Est considéré comme un employeur quiconque occupe un travailleur étranger sous ses pouvoirs de direction, avec ses outils ou dans ses locaux (arrêts GE.2013.0154/PE.2013.0388 du 14 janvier 2014 consid. 2a; PE.2013.0180/PE.2013.0384 précité consid. 1c et la référence; cf. aussi Directives et commentaires domaine des étrangers [Directives LEtr] du Secrétariat d'Etat aux migrations du mois d'octobre 2013, actualisée le 3 juillet 2017, ch. I.4.8.8.2 p. 187 s.). b) En l'occurrence, le recourant fait valoir que la personne contrôlée ne fait pas partie de son personnel mais qu'elle travaillait pour une société tierce, F.________, le jour du contrôle. Il soutient ensuite ne pas connaître cette personne, dès lors qu'il se trouvait en vacances à l'étranger et que son unique employé était D.________, qu'il avait chargé de se rendre sur le chantier. Il ressort certes du dossier de l'autorité intimée que l'employé illégal C.________ semble également avoir travaillé pour la société tierce précitée, au vu de l'attestation signée par celle-ci, le 27 décembre 2016. Force est toutefois de constater que le jour du contrôle (2 août 2016), l'employé précité, de même que l'autre travailleur présent sur les lieuxD.________), ont spontanément déclaré être employés par l'entreprise du recourant, depuis 1 jour pour le premier et 3 jours pour le second. Certes, l'employé C.________ a ensuite déclaré à la police qu'il ne savait pas pour qui il travaillait et qu'il s'agissait de sa première activité professionnelle en Suisse. Il n'en demeure pas moins que le technicien responsable du chantier pour l'entreprise du recourant, M. E.________, a confirmé que dite entreprise était bien sous-traitante de la société adjudicataire pour la pose du parquet. Il n'est pas non plus contesté que l'employé illégal précité était occupé précisément à cette activité au moment du contrôle. Il est donc manifeste que le recourant a bénéficié dans les faits des services de l'employé C.________, lequel a été mis à sa disposition, soit loué ou prêté, pour œuvrer pour son compte sur le chantier le jour du contrôle. Il incombait dès lors au préalable au recourant de vérifier s'il était ou non autorisé à exercer une activité lucrative en Suisse, ce d'autant qu'il avait déjà fait deux fois l'objet d'une sanction pour violation des dispositions du droit des étrangers. Son absence pour cause de vacances n'y change rien: il lui incombait de s'assurer que les employés qu'il laissait en charge des travaux à effectuer pour son compte pendant son absence étaient au bénéfice des autorisations nécessaires. A défaut d'avoir procédé de la sorte, il a violé son devoir de diligence. c) La décision rendue le 30 novembre 2016 par l'autorité intimée en matière d'infraction au droit des étrangers s'avère donc conforme à la législation, le non-respect de l'art. 91 al. 1 LEtr exposant l'employeur aux sanctions prévues à l'art. 122 LEtr. Le recourant verra ses futures demandes d'autorisations rejetées durant 6 mois. Le recourant étant sanctionné pour la troisième fois en raison de violations des dispositions du droit des étrangers, on peut considérer qu'il a récidivé et que la dernière condamnation n'a pas eu d'effet sur son comportement. Partant, la sanction prononcée est proportionnée (cf. également arrêt GE.2014.0058 du 10 juin 2015 consid. 4).</w:t>
      </w:r>
    </w:p>
    <w:p>
      <w:r>
        <w:rPr>
          <w:b/>
        </w:rPr>
        <w:t>E. 3</w:t>
      </w:r>
    </w:p>
    <w:p>
      <w:r>
        <w:t>Les frais de contrôle du recourant ont en outre été mis à sa charge au motif qu'une infraction au droit des étrangers avait été commise. a) La loi fédérale du 17 juin 2005 concernant les mesures en matière de lutte contre le travail au noir (loi sur le travail au noir; LTN; RS 822.41) institue en particulier des mécanismes de contrôle et de répression (art. 1 LTN). Selon l'art. 6 LTN, le contrôle porte sur le respect des obligations en matière d’annonce et d’autorisation conformément au droit des assurances sociales, des étrangers et de l’imposition à la source. En vertu de l'art. 16 al. 1 LTN,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En application de l'art. 44 al. 2 du règlement d'application de la loi vaudoise du</w:t>
      </w:r>
    </w:p>
    <w:p>
      <w:r>
        <w:rPr>
          <w:b/>
        </w:rPr>
        <w:t>E. 5</w:t>
      </w:r>
    </w:p>
    <w:p>
      <w:r>
        <w:t>juillet 2005 sur l'emploi, du 7 décembre 2005 (RLEmp; RSV 822.11.1), les personnes contrôlées qui n'ont pas respecté leurs obligations en matière d’annonce et d’autorisation visées à l’art. 6 LTN s’acquittent d’un émolument d’un montant de 100 fr. par heure. b) En l'espèce, il est établi que le recourant a occupé au service de son entreprise en raison individuelle un travailleur étranger sans autorisation, alors qu'en sa qualité d'employeur de fait il devait effectuer les vérifications qui s'imposaient s'agissant du statut légal de ce travailleur (cf. consid. 1). Ce comportement étant constitutif d'une infraction au droit des étrangers et, partant, d'une atteinte au sens de l'art.</w:t>
      </w:r>
    </w:p>
    <w:p>
      <w:r>
        <w:rPr>
          <w:b/>
        </w:rPr>
        <w:t>E. 6</w:t>
      </w:r>
    </w:p>
    <w:p>
      <w:r>
        <w:t>LTN, le recourant doit supporter les frais liés au contrôle à l'occasion duquel ces irrégularités ont été constatées. La décision rendue le 30 novembre 2016 par l'autorité intimée en matière de facturation des frais de contrôle est donc fondée. Pour le surplus, le recourant ne conteste ni le nombre d'heures retenu par l'autorité intimée ni le tarif appliqué, de sorte que ces éléments n'ont pas à être examinés en détail par la Cour de céans, étant cependant précisé que le montant de 1'100 fr. retenu n'apparaît pas disproportionné compte tenu de la nature de l'affaire. 4. Il résulte des considérants qui précèdent que le recours, mal fondé, doit être rejeté et les deux décisions de l'autorité intimée du 30 novembre 2016 confirmées. Le recourant, qui succombe, supportera les frais de justice (art. 49 al. 1 de la loi vaudoise du 28 octobre 2008 sur la procédure administrative [LPA-VD; RSV 173.36]).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