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GE.2016.0161 vom 8. Februar 2017</w:t>
      </w:r>
    </w:p>
    <w:p>
      <w:r>
        <w:t>VD Tribunal cantonal, 2017-02-08, FR</w:t>
      </w:r>
    </w:p>
    <w:p>
      <w:r>
        <w:rPr>
          <w:b/>
        </w:rPr>
        <w:t xml:space="preserve">Quelle: </w:t>
      </w:r>
      <w:r>
        <w:t>https://mcp.opencaselaw.ch/entscheid/vd_omni_GE.2016.0161</w:t>
      </w:r>
    </w:p>
    <w:p>
      <w:r>
        <w:t>FR: VD_OMNI GE.2016.0161 du 8 février 2017</w:t>
      </w:r>
    </w:p>
    <w:p>
      <w:r>
        <w:t>IT: VD_OMNI GE.2016.0161 del 8 febbraio 2017</w:t>
      </w:r>
    </w:p>
    <w:p>
      <w:pPr>
        <w:pStyle w:val="Heading2"/>
      </w:pPr>
      <w:r>
        <w:t>Regeste</w:t>
      </w:r>
    </w:p>
    <w:p>
      <w:r>
        <w:t>A.________/Département de l'économie et du sport (DECS) | Requête en changement de nom déposée par le recourant. Existence de motifs légitimes reconnue par le DECS, qui refuse toutefois la demande aux motifs que le nouveau nom remonte trop loin dans l'ascendance du recourant et que le droit du nom d'autrui pourrait être violé (cas d'homonymie). Vu la nature des motifs invoqués par l'intéressé (souffrance liée au port du patronyme paternel mais surtout souhait de ne plus être retrouvé par son père), le DECS était tenu d'assouplir son éventuelle pratique tendant à n'autoriser qu'un nom issu de la génération des parents, voire des grands-parents, et permettre au recourant de remonter bien plus loin dans l'ascendance. Il n'appartient en outre pas au DECS de s'opposer au choix d'un nouveau patronyme dans la procédure régie par l'art. 30 al. 1 CC en vue de prévenir, en amont, d'éventuelles actions de particuliers quant à la protection de leur nom; les tiers qui se sentiraient lésés par le changement de nom du recourant - étant précisé que le nom choisi est répandu en Suisse - pourront user de la possibilité offerte à l'art. 30 al. 3 CC s'ils l'estiment opportun. Recours admis et recourant autorisé à porter le nom choisi.</w:t>
      </w:r>
    </w:p>
    <w:p>
      <w:pPr>
        <w:pStyle w:val="Heading2"/>
      </w:pPr>
      <w:r>
        <w:t>Erwägungen</w:t>
      </w:r>
    </w:p>
    <w:p>
      <w:r>
        <w:rPr>
          <w:b/>
        </w:rPr>
        <w:t>E. 1</w:t>
      </w:r>
    </w:p>
    <w:p>
      <w:r>
        <w:t>Interjeté en temps utile, le recours satisfait en outre aux autres conditions formelles de recevabilité (art. 79, 95, 99 la loi du 28 octobre 2008 sur la procédure administrative [LPA-VD; RSV 173.36]). Destinataire de la décision attaquée, le recourant a qualité pour recourir au sens de l'art. 75 al. 1 let. a LPA-VD. L'art. 30 al. 1 CC dispose que le gouvernement du canton de domicile peut, s'il existe des motifs légitimes, autoriser une personne à changer de nom. Dans le canton de Vaud, cette compétence est exercée par le département en charge de l'état civil (art. 11 al. 1 ch. 1 du code de droit privé judiciaire vaudois du 12 janvier 2010 [CDPJ; RSV 211.02]). La décision rendue par ce département – actuellement le DECS –, dans le cadre d'une procédure administrative (art. 27 de la loi du 25 novembre 1987 sur l'état civil [LEC; RSV 211.11]), peut faire l'objet d'un recours de droit administratif au Tribunal cantonal, conformément aux art. 92 ss LPA-VD, vu le renvoi de l'art. 31 al. 4 LEC (arrêt GE.2013.0077 du 4 novembre 2013 consid. 1). Il y a donc lieu d'entrer en matière sur le fond.</w:t>
      </w:r>
    </w:p>
    <w:p>
      <w:r>
        <w:rPr>
          <w:b/>
        </w:rPr>
        <w:t>E. 2</w:t>
      </w:r>
    </w:p>
    <w:p>
      <w:r>
        <w:t>a) Le droit au nom, respectivement au changement de nom, appartient aux droits strictement personnels (relatifs) (ATF 140 III 577 consid. 3.1). Le nom civil d'une personne ne peut en principe pas être modifié (ATF 140 III 577 consid. 3.2 et les réf. cit.; 136 III 161 consid. 3.1). Dans certaines situations déterminées du droit de la famille (cf. art. 270 al. 2, art. 270a al. 2, art. 8a tit. fin. CC), la loi accorde sans conditions la possibilité de changer de nom (ch. 1 de la loi fédérale du 30 septembre 2011, en vigueur depuis le 1 er janvier 2013; RO 2012 2569). Par ailleurs, aux termes de l'art. 30 al. 1 CC dans sa teneur en vigueur depuis le 1 er janvier 2013 (ch. 1 de la loi fédérale du 30 septembre 2011; RO 2012 2569), le gouvernement du canton de domicile peut, s'il existe des motifs légitimes (achtenswerte Gründe, motivi degni di rispetto) autoriser une personne à changer de nom. b) Les conditions de l’autorisation de changer de nom donnée par l’autorité compétente selon l’art. 30 al. 1 CC ont subi une modification substantielle importante (ATF 140 III 577 consid. 3.3). En effet, selon cette disposition dans son ancienne teneur en vigueur jusqu'au 31 décembre 2012 (RO 1977 237), le gouvernement du canton du domicile pouvait, s’il existait de "justes motifs", autoriser une personne à changer de nom. La modification de l'art. 30 al. 1 CC a été effectuée durant les débats aux Chambres sur l'initiative parlementaire du 19 juin 2003 "Nom et droit de cité des époux – Egalité" (Leutenegger Oberholzer; 03.428). La nouvelle condition de "motifs légitimes" devait abaisser les exigences requises pour un changement de nom, sans toutefois donner la possibilité à chacun de changer de nom selon son propre vœu (interventions de la Conseillère fédérale Sommaruga et du Conseiller aux Etats Bürgi [BO 2011 CE 479], ainsi que du Conseiller national Sommaruga qui relevait qu'il s'agissait d'une solution plus souple que les autorités étaient chargées d'interpréter de manière nouvelle afin de mieux prendre en compte les situations personnelles et familiales complexes rencontrées dans notre société actuelle [BO 2011 CN 1757]). c) La jurisprudence rendue sous l'empire de l'ancien art. 30 al. 1 CC prévoyait notamment qu'il était question de justes motifs lorsque l'intérêt du requérant – en tant qu'individu et de lui seul – à porter un nouveau nom l'emportait sur l'intérêt de l'administration et de la collectivité à l'immutabilité du nom acquis et inscrit à l'état civil, et sur l'intérêt public à la fonction d'individualisation du nom (ATF 136 III 161 consid. 3.1.1; arrêt GE.2010.0103 du 9 février 2011 consid. 4a). L'autorisation de changer de nom pouvait être justifiée par des considérations d'ordre moral, spirituel ou affectif, par le caractère inadapté, ridicule, choquant ou odieux du nom, voire par des motifs professionnels ou administratifs. Ce qui était décisif était de savoir si les motifs invoqués étaient suffisamment importants pour la justifier (TF 5C.174/2006 du 28 novembre 2006 consid. 2.1), étant précisé qu'en toute hypothèse, l'intérêt devait être apprécié sur la base de critères objectifs (TF 5A.424/2010 du 2 novembre 2010 consid. 2.1 et les réf. cit.), des raisons purement subjectives étant exclues (TF 5C.174/2006 précité consid. 2.1; arrêt GE.2006.0028 du 22 février 2007 consid. 2). d) Les avis doctrinaux divergent quant à savoir comment les "motifs légitimes" doivent être concrétisés (ATF 140 III 577 consid. 3.3.2). Certains auteurs considèrent ainsi que la nouvelle disposition légale doit permettre aux personnes d'obtenir un changement de nom plus facilement que sous l'empire des "justes motifs" de l'ancien art. 30 al. 1 CC (Estelle de Luze/Valérie de Luigi, Le nouveau droit du nom in: PJA 2013 505, p. 523; Regina Aebi-Müller, Das neue Familiennamensrecht – eine erste Übersicht in: RSJ 2012 449, p. 456). Une autre partie de la doctrine s'oppose toutefois à cette interprétation plus large en considérant que la notion de "motifs légitimes" doit être interprétée en respectant le principe d'immutabilité du nom de famille et qu'elle ne facilitera pas la procédure en changement de nom (Thomas Geiser, Das neue Namensrecht und des Kindes- und Erwachsenenschutzbehörde in: RMA 2012 353, p. 369 n°3.36). Ce dernier auteur a dégagé plusieurs principes quant aux motifs légitimes invoqués lors d'une requête de changement de nom, qui sont les suivants: le simple souhait de changer de nom ne suffit pas; d'autres motifs doivent être formulés; ces motifs ne doivent être ni illicites ni abusifs ou contraires aux mœurs; il faut aussi que ces motifs soient raisonnables; la dénomination doit être admise juridiquement; les faits allégués doivent être attestés et non simplement prétendus (Geiser, op. cit., n°3.31 p. 371). En tout état de cause, la doctrine relève que la pratique et les décisions judiciaires permettront d'établir quels motifs peuvent être qualifiés de légitimes et justifier un changement de nom en application de l'art. 30 al. 1 CC. La jurisprudence devra poser les jalons indispensables à une application uniforme du droit tout en laissant aux autorités inférieures la souplesse nécessaire pour adapter leurs décisions aux situations particulières qu'elles rencontreront (De Luze/De Luigi, op. cit., p. 524).</w:t>
      </w:r>
    </w:p>
    <w:p>
      <w:r>
        <w:rPr>
          <w:b/>
        </w:rPr>
        <w:t>E. 3</w:t>
      </w:r>
    </w:p>
    <w:p>
      <w:r>
        <w:t>a) En l'espèce, la légitimité de la demande en changement de nom quant à son principe a été admise par l'autorité intimée, laquelle a reconnu la souffrance personnelle du recourant liée à sa situation familiale. Le litige porte donc uniquement sur la question du choix du nouveau nom et sur le fait de savoir si c'est à raison que l'autorité intimée a refusé le patronyme de "B.________ ". b) L'autorité intimée a en premier lieu refusé le choix du nom de "B.________ " motif pris que celui-ci est issu d'une ascendance éloignée de ******** siècles et donc sans rapport avec l'identité du recourant. Le recourant soutient que le grief selon lequel le nom choisi remonterait trop loin dans l'ascendance ne repose sur aucune base légale, jurisprudentielle ou doctrinale et irait même à l'encontre de l'avis de certains auteurs; il s'agirait là d'une limitation fixée par l'autorité intimée elle-même, laquelle n'en a pas la compétence. La loi, de même que son message et les procès-verbaux des délibérations parlementaires ne renseignent aucunement sur la question de savoir si, lorsque le nouveau nom est (ou a été) porté par un ascendant, un degré maximal de parenté devrait être observé. Ce point n'a apparemment pas davantage été examiné dans la jurisprudence, ni n'est évoqué dans les ouvrages doctrinaux en la matière. L'on citera toutefois Thévenaz, auquel se réfère le recourant, qui relève ce qui suit (in: Commentaire romand, Code civil I, Bâle 2010, n° 26 ad art. 30, p. 328): "De manière générale, le changement de nom doit donc être autorisé lorsque l'intérêt du requérant l'emporte sur l'intérêt général à l'immutabilité du nom et sur les éventuels intérêts opposés des proches ou de tiers. Sous cet angle, l'appréciation du juste motif dépendra en partie du nom sollicité. S'il s'agit d'un nom célèbre ou rare, la demande (susceptible de heurter la sensibilité des personnes portant déjà ce nom) sera moins facilement admissible que s'il s'agit d'un nom courant ou déjà porté dans sa proche ou lointaine parenté." En employant les termes de "lointaine parenté", l'auteur paraît ainsi ne pas exclure que le nom choisi puisse remonter plus loin dans l'ascendance que le deuxième degré de parenté. Soutenant qu'un changement de nom doit se révéler raisonnable quant au choix du nom, l'autorité intimée considère qu'à défaut de critères objectifs, le cadre légal actuel, qui prévoit que l'enfant porte le nom de célibataire de son père ou de sa mère, autorise par analogie l'admission d'une parentèle précédente. Ce raisonnement tombe manifestement à faux. Un tel constat ne permet en effet pas de conclure à l'existence d'une règle générale qui s'appliquerait, schématiquement et sans distinction aucune, à tous les cas de changement de nom et qui n'autoriserait comme nouveau nom qu'un patronyme issu de la génération des parents, tout au plus de celle des grands-parents. Comme relevé précédemment, c'est à la lumière de toutes les circonstances concrètes du cas d'espèce, de la situation personnelle du requérant et surtout de la nature des motifs légitimes invoqués que l'autorité se doit d'examiner chaque demande. Or, même à admettre l'existence et le bien-fondé d'une telle exigence – en l'absence de toute solution claire consacrée par la loi, la jurisprudence ou la doctrine –, il y a de toute manière lieu de conclure que l'autorité ne pouvait pas l'appliquer sans autre au cas singulier du recourant. Dans ses courriers successifs à l'autorité intimée, le recourant a en effet mis l'accent sur le fait que son vœu de changer de nom tendait non seulement à se défaire d'une partie de ses souffrances en occultant tout lien apparent entre lui et son père, mais également, et ce de manière tout aussi importante, à empêcher son père de le retrouver, de le contacter et de le harceler. Le 6 décembre 2015, il indiquait d'ailleurs que c'était là le motif principal de sa requête. La présente affaire se distingue ainsi de la majorité des cas de demandes de changement de nom, dans la mesure où elle implique une caractéristique supplémentaire, à savoir le souhait pour un individu de ne pas être retrouvé par un proche. Cet aspect de la demande paraît avoir échappé à l'autorité intimée qui s'est bornée à faire une application d'une règle, par ailleurs discutable, sans prendre en considération dans son examen l'ensemble des motifs légitimes invoqués, lesquels excluent de facto le choix d'un nom dans un cercle familial plus ou moins proche. Il tombe en effet sous le sens que le père du recourant connaît le nom de jeune fille de la grand-mère paternelle du recourant, laquelle n'est autre que sa mère. Il est du reste hautement probable qu'il connaît également le nom de jeune fille de la grand-mère maternelle du recourant, soit la mère de son ex-épouse. L'autorité intimée était ainsi tenue d'assouplir son éventuelle pratique et de permettre au recourant de remonter plus loin dans son ascendance pour choisir un nom que son père ne pourrait pas aisément reconnaître, peu important à cet égard que ce nom puisse, par la force des choses, se révéler sans rapport avec l'identité familiale du recourant ou avec son environnement socio-culturel. En le contraignant comme elle l'a fait à choisir un patronyme issu du second degré de parenté, l'autorité intimée l'a en définitive placé dans une impasse. Or, s'il existe des motifs légitimes, comme tel est le cas ici, l'autorité cantonale doit autoriser un changement de nom; il ne s'agit pas d'une simple faculté (ATF 70 I 216; Thévenaz in: Commentaire romand, Code civil I, op. cit, ad art. 30 n°17, p. 326; De Luze/De Luigi, op. cit., p. 523). On relèvera encore qu'en optant pour un patronyme porté par deux de ses aïeux, le recourant s'est conformé à l'indication de l'autorité intimée de choisir un nom issu de son ascendance. Bien que le nom choisi semble remonter, il est vrai, relativement loin d'un point de vue généalogique (********et ******** selon les indications du recourant), un lien de parenté, certes ténu, subsiste néanmoins. Enfin, l'on ne saurait qualifier le patronyme en question de rare ou de célèbre, ce qui rendrait la demande susceptible de heurter la sensibilité de personnes portant déjà ce nom (voir sur ce point Thévenaz, op. cit., n°26 p. 328). Il s'agit au contraire d'un nom dont on doit admettre qu'il est répandu en Suisse et qu'il ne jouit conséquemment pas d'une renommée particulière. Sans la documenter de quelque manière, l'autorité intimée s'appuie par ailleurs dans ses observations sur une discussion s'étant déroulée lors de la Conférence des autorités cantonales de surveillance de l'état civil au printemps 2016. Elle relève qu'au cours de celle-ci, il a été considéré, malgré la réticence de certains cantons, qu'une demande de changement de nom tendant à prendre le nom de jeune fille de la grand-mère pouvait être admise, mais non pas celui de l'arrière grand-mère, et ceci à une grande majorité. Elle en déduit donc que le nom d'un véritable ancêtre aurait été rejeté inconditionnellement On relèvera en premier lieu que le tribunal de céans n'est pas lié par l'interprétation de l'art. 30 CC faite par la Conférence des autorités cantonales de surveillance de l'état civil. A cela s'ajoute que l'autorité intimée ne saurait de toute manière tirer aucun argument de cette prise de position de la Conférence des autorités cantonales. Rien n'indique en effet, et l'autorité intimée ne le prétend pas, que les circonstances entourant l'exemple choisi seraient en tous points comparables à celles afférant à la présente affaire, sous l'angle des motifs particuliers invoqués. Le choix du nom de la grand-mère, voire de l'arrière grand-mère laisse d'ailleurs supposer que la demande de l'intéressé(e) ne tendait pas, comme en l'espèce, à empêcher une prise de contact de la part d'un proche. Force est ainsi de constater que l'autorité intimée a omis de prendre en considération dans son examen un aspect essentiel de la demande en changement de nom et qu'elle a à tort exigé du recourant qu'il choisisse un nom issu tout au plus de la génération de ses grand-mères. Pour ce premier motif déjà, la décision doit être annulée. c) L'autorité intimée a également refusé le choix du patronyme de "B.________ " au motif que le droit du nom d'autrui pourrait être violé (existence de cas d'homonymie). Le recourant considère là encore qu'un tel refus est erroné et irait à l'encontre de la doctrine, en ajoutant que les tiers disposent toujours de la possibilité d'attaquer le changement de nom au regard de l'art. 30 al. 3 CC. aa) Aux termes de l'art. 30 al. 3 CC, toute personne lésée par un changement de nom peut l'attaquer en justice dans l'année à compter du jour où elle en a eu connaissance. Thévenaz souligne que le droit d'attaquer un changement de nom au sens de l'art. 30 al. 3 CC ne suppose pas nécessairement un risque de confusion entre le titulaire du nom et celui qui a été autorisé à porter le même nom; il suffit que le premier soit lésé par le changement de nom, ce qui peut notamment se produire lorsque le public pourrait croire, par une simple association d'idées, qu'il y a entre l'un et l'autre un lien effectivement inexistant. L'auteur ajoute que le risque de confusion est cependant un critère important à prendre en compte dans le cadre d'une action en annulation de changement de nom (in: Commentaire romand, Code civil I, n° 46 et 47 ad art. 30, p. 331 s.). Pareillement, dans son commentaire de l'art. 30 al. 3 CC, Bühler évoque l'impression erronée qu'il existerait entre les personnes concernées un lien de parenté, respectivement une relation ou un lien particuliers (Roland Bühler in: Basler Kommentar, Zivilgesetzbuch I, 5 ème éd., 2014, n°25 ad art. 30 CC, p. 370). bb) Bühler considère qu'au vu de la conception de la protection du nom, qui relève des droits subjectifs, même dans les cas d'appropriation manifeste du nom de personnes déterminées, les autorités compétentes en matière de changement de nom n'ont ni le droit ni le devoir de protéger leur nom à leur place. Par conséquent, la pesée des intérêts lors d'un changement de nom relevant d'une procédure d'autorisation administrative ne doit pas être étendue à des domaines pouvant faire l'objet d'une action judiciaire au sens de l'art. 30 al. 3 CC ( Bühler in: Basler Kommentar, Zivilgesetzbuch I, op. cit., n°12 et n°21 ad art. 30 CC, p. 367 et 369). L'auteur se réfère dans ce contexte à un arrêt du Tribunal fédéral (ATF 112 II 59, Cirque Monti S.A .) concernant un refus de l'Office fédéral du registre du commerce d'inscrire au registre du commerce une raison sociale, au motif que celle-ci pouvait induire en erreur dès lors qu'aucun rapport n'existait entre la société et une personne portant le nom de famille " Monti ". Le Tribunal fédéral a considéré que l'Office avait manifestement excédé son pouvoir d'appréciation. En s'efforçant d'empêcher l'emploi de noms répandus et anciens dans des raisons sociales, ledit office cherchait en somme moins à préserver le public d'indications fallacieuses qu'à protéger ceux qui portaient ces patronymes contre une utilisation abusive de leur nom dans des raisons de commerce. Or, selon la Haute cour, la protection des noms et la prévention d'actions civiles qui en découlaient n'était normalement pas de la compétence de l'Office et ne pouvait pas être invoquée pour refuser une réquisition d'inscription au motif que cette dernière était contraire à l'intérêt public. Tout au plus convenait-il de réserver l'hypothèse de l'appropriation manifeste du nom d'une personne déterminée (consid. 2). A la lumière de ce qui précède, il apparaît que l'autorité intimée s'est à tort opposée au choix du nouveau patronyme du recourant – dont on rappelle qu'il s'agit d'un nom courant – au motif que le droit du nom de tiers pourrait être violé (cas d'homonymie). En cela, elle s'est clairement laissée guider par un critère dénué de pertinence, qui ne doit jouer aucun rôle dans la procédure en changement de nom régie par l'art. 30 al. 1 CC. En d'autres termes, il ne lui appartenait pas de prévenir, en amont, d'éventuelles actions de particuliers tendant à la protection de leur nom. Les tiers qui se sentiraient lésés par le changement de nom du recourant pourront en effet toujours faire usage ultérieurement, s'ils l'estiment opportun, de la possibilité offerte à l'art. 30 al. 3 CC et il n'en résulte pour eux aucun préjudice.</w:t>
      </w:r>
    </w:p>
    <w:p>
      <w:r>
        <w:rPr>
          <w:b/>
        </w:rPr>
        <w:t>E. 4</w:t>
      </w:r>
    </w:p>
    <w:p>
      <w:r>
        <w:t>Il résulte des considérants qui précèdent que le recours doit être admis et la décision attaquée réformée en ce sens que la demande de changement de nom de "A.________ " en "B.________ " est admise. Vu l'issue de la procédure, le présent arrêt est rendu sans frais (art. 49 al. 1 et 52 al. 1 LPA-VD). Obtenant gain de cause et ayant procédé par l'intermédiaire d'un mandataire professionnel, le recourant a droit à une indemnité à titre de dépens (art. 55, 91 et 99 LPA-VD). Vu l'octroi de dépens, il n'y a pas lieu de fixer une indemnité au titre de l'assistance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