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GE.2016.0147 vom 28. November 2016</w:t>
      </w:r>
    </w:p>
    <w:p>
      <w:r>
        <w:t>VD Tribunal cantonal, 2016-11-28, FR</w:t>
      </w:r>
    </w:p>
    <w:p>
      <w:r>
        <w:rPr>
          <w:b/>
        </w:rPr>
        <w:t xml:space="preserve">Quelle: </w:t>
      </w:r>
      <w:r>
        <w:t>https://mcp.opencaselaw.ch/entscheid/vd_omni_GE.2016.0147</w:t>
      </w:r>
    </w:p>
    <w:p>
      <w:r>
        <w:t>FR: VD_OMNI GE.2016.0147 du 28 novembre 2016</w:t>
      </w:r>
    </w:p>
    <w:p>
      <w:r>
        <w:t>IT: VD_OMNI GE.2016.0147 del 28 novembre 2016</w:t>
      </w:r>
    </w:p>
    <w:p>
      <w:pPr>
        <w:pStyle w:val="Heading2"/>
      </w:pPr>
      <w:r>
        <w:t>Regeste</w:t>
      </w:r>
    </w:p>
    <w:p>
      <w:r>
        <w:t>A.________/Municipalité de ******** | Au dépôt de la demande de naturalisation, le recourant faisait l'objet de poursuites pour un montant de plus de 35'000 fr. et d'actes de défaut de biens pour un montant de près de 25'000 fr., en particulier pour des dettes d'impôt. Il n'a ni établi, ni même allégué, que sa situation financière avait été assainie depuis lors. Les conditions de la naturalisation n'étant ainsi pas remplies, l'autorité intimée n'a pas abusé de son pouvoir d'appréciation en écartant sa demande et en lui retournant son dossier. (recours déclaré irrecevable par arrêt du Tribunal fédéral 1D_6/2016 du 5 janvier 2017)</w:t>
      </w:r>
    </w:p>
    <w:p>
      <w:pPr>
        <w:pStyle w:val="Heading2"/>
      </w:pPr>
      <w:r>
        <w:t>Erwägungen</w:t>
      </w:r>
    </w:p>
    <w:p>
      <w:r>
        <w:rPr>
          <w:b/>
        </w:rPr>
        <w:t>E. 1</w:t>
      </w:r>
    </w:p>
    <w:p>
      <w:r>
        <w:t>Aux termes de son art. 52 al. 1, la loi du 28 septembre 2004 sur le droit de cité vaudois (LDCV; RSV 141.11) prescrit que les décisions rendues en application de la présente loi par les autorités cantonales et communales sont susceptibles de recours auprès du Tribunal cantonal. 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teneur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Est litigieux dans le cas d’espèce le refus de l’autorité intimée de ne pas donner une suite favorable à la demande de naturalisation qui lui a été soumise. En réalité, l’autorité intimée a estimé que les conditions de celles-ci n’étaient pas remplies et qu’il n’y avait pas lieu d’aller plus avant dans l’instruction de cette demande. On rappelle à cet égard que le droit de requérir la naturalisation entre dans le champ d’application des droits fondamentaux liés à la personnalité; dès lors qu’il s’agit d’un droit strictement personnel du recourant, le consentement de sa curatrice de portée générale n’est pas nécessaire, y compris pour saisir la juridiction administrative (v. sur cette question, Paul-Henri Steinauer/Christiana Fountoulakis, Droit des personnes physiques et de la protection de l’adulte, Berne 2014, nos 210 et 218; Peter Hänni/Eva Maria Belser, Die Rechte der Kinder zu den Grundrechten Minderjähriger und die Schwierigkeit ihrer rechtlichen Durchsetzung, in : AJP/PJA 1998 p. 139 et ss, not. 155, références citées). a)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w:t>
      </w:r>
    </w:p>
    <w:p>
      <w:r>
        <w:rPr>
          <w:b/>
        </w:rPr>
        <w:t>E. 3.1</w:t>
      </w:r>
    </w:p>
    <w:p>
      <w:r>
        <w:t>p. 101s.; 138 I 305 consid. 1.4.2 p. 311; 137 I 235 consid. 2.5.2 p. 240s.).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 b) En la présente espèce, l'autorité intimée a fondé son refus sur le nombre et le montant des poursuites et actes de défaut de biens, en particulier pour des dettes d'impôts, dont le recourant fait l'objet. Elle a expressément invoqué ce motif dans la décision attaquée. Or, le droit d'être entendu, garanti par les art. 29 al. 2 Cst et 27 al. 2 Cst/VD, comprend, notamment, l'obligation pour l'autorité de motiver sa décision, afin que l'intéressé puisse la comprendre, l'attaquer utilement s'il y a lieu et que l'autorité de recours puisse exercer son contrôle (cf. ATF 135 V 65 consid. 2.6 p. 73; 134 I 83 consid. 4.1 p. 88). Ainsi, contrairement à ce que soutient le recourant, son droit d'être entendu n’a pas été violé; en effet, celui-ci a pu exercer son droit de recours en connaissance de cause. S'il estimait que l'autorité intimée ne disposait pas, au moment de statuer, de tous les éléments nécessaires, il incombait au recourant de compléter spontanément sa demande en vertu de son devoir de collaborer à la constatation des faits au sens de l'art. 30 LPA-VD, ce d'autant plus que ses critiques visent l'établissement des faits ayant trait à sa situation personnelle, qu'il connaît mieux que quiconque. c) La LDCV dispose à son art. 8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 loi fédérale du 29 septembre 1952 sur l'acquisition et la perte de la nationalité suisse (LN; RS 141.0) subordonne l’octroi de l’autorisation de naturalisation à diverses conditions. S'agissant de la naturalisation ordinaire requise par le recourant, la loi pose, hormis des conditions de résidence, des conditions d'aptitude (art. 14 LN). Ainsi, avant l'octroi de l'autorisation (qui doit être donné par l’office fédéral compétent),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LDCV dispose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LDCV). En droit fédéral, le message du Conseil fédéral précise s'agissant de la condition relative au respect de l'ordre juridique suisse (art. 14 let. c 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 Ausländerrecht, Bâle/Genève/Munich 2002, p. 388; René Schaffhauser, Bürgerrechte, in : Verfassungsrecht der Schweiz, Zurich 2001, p. 325; voir ég. arrêts GE.2011.0071 du 14 mai 2012; GE.2005.0209 du 7 février 2008). En droit cantonal, l'exposé des motifs de la LDCV relève qu'il faut entendre par "obligations publiques" au sens de l'art. 8 ch. 3 LDCV notamment celle de payer régulièrement ses impôts lorsque l'on y est assujetti. L'exposé précise en outre que la condition de la "probité avérée" de l'art. 8 ch. 4 LDCV s'apprécie en particulier en fonction du respect des obligations légales ou contractuelles du candidat et que l'inscription à l'Office des poursuites constitue un critère d'appréciation du respect de ces obligations (cf. Bulletin du Grand Conseil, septembre 2004, p. 2800). La directive que le Service de la population (ci-après: SPOP) a émise le 2 octobre 2015, produite par l’autorité intimée, rappelle ce qui précède aux pages 5 à 7. d) Il est établi qu'au moment du dépôt de la demande de naturalisation, le recourant faisait l'objet de poursuites pour un montant de 37'964 fr.75 et d'actes de défaut de biens pour un montant de 24'672 fr.50, en particulier pour des dettes d'impôt. Le recourant n'a ni établi, ni même allégué qu'il avait assaini sa situation financière depuis lors. Ainsi, force est de constater qu’il ne remplit pas les conditions prévues par les art. 14 let. c LN et 8 ch. 3 et 4 LDCV. Au regard de ces éléments, l'autorité intimée n'a pas abusé de son pouvoir d'appréciation en écartant la demande de naturalisation du recourant. Au surplus, au vu des montants dus par le recourant à ses créanciers et notamment à l’office d’impôt, l’autorité intimée pouvait raisonnablement estimer que les conditions de la demande ne seraient pas remplies dans un délai d'un an au plus, ceci d’autant moins que le recourant n’a aucun revenu, et renoncer à suspendre la procédure, conformément à l’art. 14 al. 5 LDCV (et non 15 al. 4, comme indiqué par erreur dans la directive du SPOP). Il appartiendra dès lors au recourant de déposer un nouveau dossier de naturalisation dans le cadre d'une nouvelle procédure, dès que les conditions en seront remplies.</w:t>
      </w:r>
    </w:p>
    <w:p>
      <w:r>
        <w:rPr>
          <w:b/>
        </w:rPr>
        <w:t>E. 4</w:t>
      </w:r>
    </w:p>
    <w:p>
      <w:r>
        <w:t>Les considérants qui précèdent conduisent au rejet du recours. La décision attaquée doit être confirmée. Compte tenu de sa situation financière, il est renoncé à mettre un émolument à la charge du recourant, bien que celui-ci succombe; au surplus, l’allocation de dépens n’entre pas en ligne de compte (cf. art. 49 al. 1,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