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GE.2016.0145 vom 27. März 2017</w:t>
      </w:r>
    </w:p>
    <w:p>
      <w:r>
        <w:t>VD Tribunal cantonal, 2017-03-27, FR</w:t>
      </w:r>
    </w:p>
    <w:p>
      <w:r>
        <w:rPr>
          <w:b/>
        </w:rPr>
        <w:t xml:space="preserve">Quelle: </w:t>
      </w:r>
      <w:r>
        <w:t>https://mcp.opencaselaw.ch/entscheid/vd_omni_GE.2016.0145</w:t>
      </w:r>
    </w:p>
    <w:p>
      <w:r>
        <w:t>FR: VD_OMNI GE.2016.0145 du 27 mars 2017</w:t>
      </w:r>
    </w:p>
    <w:p>
      <w:r>
        <w:t>IT: VD_OMNI GE.2016.0145 del 27 marzo 2017</w:t>
      </w:r>
    </w:p>
    <w:p>
      <w:pPr>
        <w:pStyle w:val="Heading2"/>
      </w:pPr>
      <w:r>
        <w:t>Regeste</w:t>
      </w:r>
    </w:p>
    <w:p>
      <w:r>
        <w:t>A.________/Service de l'emploi Contrôle du marché du travail, Service de la population (SPOP) | Confirmation de la décision mettant les frais de contrôle à la charge de la recourante qui a employé un travailleur étranger alors qu'il n'était pas titulaire d'une autorisation de séjour en Suisse.</w:t>
      </w:r>
    </w:p>
    <w:p>
      <w:pPr>
        <w:pStyle w:val="Heading2"/>
      </w:pPr>
      <w:r>
        <w:t>Erwägungen</w:t>
      </w:r>
    </w:p>
    <w:p>
      <w:r>
        <w:rPr>
          <w:b/>
        </w:rPr>
        <w:t>E. 1</w:t>
      </w:r>
    </w:p>
    <w:p>
      <w:r>
        <w:t>Le recours contre la décision du 6 septembre 2016 (facturation des frais de contrôle) respecte le délai de trente jours fixé par l’art. 95 de la loi vaudoise du 28 octobre 2008 sur la procédure administrative (LPA-VD; RSV 173.36). Le destinataire de la décision attaquée est B.________, titulaire de l'entreprise individuelle E.________. Cette entreprise a toutefois été radiée du registre du commerce le 24 juin 2016, date à laquelle la société recourante lui a succédé et a été inscrite au registre du commerce. Cette société a pour unique associé-gérant B.________, lequel a été reconnu coupable "en sa qualité d'associé-gérant de A.________ " d'avoir employé un travailleur étranger qui n'était pas autorisé à séjourner et travailler en Suisse (cf. ordonnance pénale du 16 novembre 2016). La recourante doit ainsi être considérée comme la destinataire des décisions rendues par le SDE le 6 septembre 2016. Elle a d'ailleurs recouru en son nom contre la décision attaquée (art. 75 let. a LPA-VD). Déposé dans les formes prévues par la loi (art. 79 et 99 LPA-VD) auprès du tribunal compétent (art. 92 LPA-VD), le recours est recevable, de sorte qu'il y a lieu d'entrer en matière.</w:t>
      </w:r>
    </w:p>
    <w:p>
      <w:r>
        <w:rPr>
          <w:b/>
        </w:rPr>
        <w:t>E. 2</w:t>
      </w:r>
    </w:p>
    <w:p>
      <w:r>
        <w:t>La recourante conteste la décision du SDE du 6 septembre 2016 qui met à sa charge les frais de contrôle. Elle n'a en revanche pas recouru contre la décision rendue par le SDE le 6 septembre 2016 intitulée "Infraction au droit des étrangers", laquelle est entrée en force. a) En vertu de l'art. 6 de la loi fédérale du 17 juin 2005 sur le travail au noir (LTN; RS 822.41), l'organe de contrôle cantonal examine le respect des obligations en matière d'annonce et d'autorisation conformément au droit des assurances sociales, des étrangers et de l'imposition à la source. L'art. 16 al. 1, 1ère phrase, LTN dispose que les contrôles sont financés par des émoluments perçus auprès des personnes contrôlées lorsque des atteintes au sens de l’art. 6 LTN ont été constatées (voir aussi l'art. 7 al. 1 de l'ordonnance du 6 septembre 2006 sur le travail au noir [OTN; RS 822.411]).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(art. 7 al. 2 OTN). Le règlement du 7 décembre 2005 d’application de la loi vaudoise sur l'emploi (RLEmp; RSV 822.11.1) prévoit enfin, à son art. 44 al. 2, que les personnes contrôlées qui n'ont pas respecté leurs obligations en matière d'annonce et d'autorisation visées à l'art. 6 LTN s'acquittent d'un émolument d'un montant de 100 francs par heure. b) En l'espèce, la recourante ne conteste pas qu'elle a loué les services du travailleur C.________ pour son chantier de ********. Elle doit par conséquent être considérée comme l'employeur de fait de ce travailleur (sur les notions d'employeur de fait et de location de service, voir PE.2016.0339 et GE.2016.0133 du 17 janvier 2017 consid. 3b et les références citées). Elle ne conteste d'ailleurs pas la décision du SDE du 6 septembre 2016 prononçant un avertissement à son encontre pour avoir violé son devoir de diligence en omettant de vérifier que le travailleur disposait des autorisations requises (art. 91 al. 1 LEtr). Cette décision est entrée en force. L'associé-gérant de la recourante a par ailleurs été condamné dans la procédure pénale pour avoir occupé un travailleur étranger qui n'était pas autorisé à séjourner et travailler en Suisse (art. 117 al. 1 LEtr; cf. ordonnance pénale du 16 novembre 2016). Ces faits sont constitutifs d'une infraction au droit des étrangers et, partant, d'une atteinte au sens de l'art.</w:t>
      </w:r>
    </w:p>
    <w:p>
      <w:r>
        <w:rPr>
          <w:b/>
        </w:rPr>
        <w:t>E. 6</w:t>
      </w:r>
    </w:p>
    <w:p>
      <w:r>
        <w:t>LTN; l'autorité intimée était donc en droit, sur le principe, de mettre les frais occasionnés par le contrôle à la charge de la recourante. La recourante se plaint d'une inégalité de traitement avec l'employeur du travailleur concerné (D.________) qui n'aurait pas, selon elle, été sanctionné. Elle se réfère sur ce point à un avis du Ministère public de l'arrondissement de La Côte du 20 juillet 2016 qui indiquait vouloir rendre une décision de classement à l'encontre de C.________ dans la procédure dirigée contre lui pour séjour illégal et activité lucrative sans autorisation (sic). La recourante fait manifestement une confusion entre la procédure pénale dirigée contre le travailleur et celle éventuellement dirigée contre D.________. Quoi qu'il en soit, dans son ordonnance du 16 novembre 2016, le Ministère public du canton de Genève a expliqué que la procédure pénale ouverte contre le travailleur avait été classée pour des motifs liés à la situation personnelle de ce dernier et qu'ils n'influaient pas sur la culpabilité de l'associé-gérant de la recourante. La recourante ne fait pas valoir que la situation de ce dernier serait semblable à celle du travailleur concerné. Quant à D.________, le SDE mentionne dans sa réponse que cette société a également été sanctionnée par une mesure administrative. Il n'y a donc pas eu de différence de traitement entre les deux employeurs. Au demeurant, le seul fait que la recourante a été condamnée pour violation de son devoir de diligence justifie de mettre les frais de contrôle à sa charge (cf. supra, consid. 2b), sans qu'il n'en résulte une violation du principe de l'égalité de traitement. Ce grief est mal fondé. c) Pour ce qui est du montant des frais, l'autorité retient un total de 12h30, au tarif horaire de 100 francs. Ce montant comprend notamment le temps de déplacement des inspecteurs à ********, le contrôle sur place, les échanges avec les autorités pénales et administratives concernées et la rédaction du rapport. Il apparaît admissible vu les principes qui viennent d'être exposés. La recourante ne soutient au demeurant pas que ce montant soit excessif. Il s'ensuit que la décision attaquée ne viole pas le droit fédéral ni le droit cantonal. 3. Les considérants qui précèdent conduisent au rejet du recours et à la confirmation de la décision attaquée. La recourante, qui succombe, supportera les frais de justice (art. 49 al. 1 LPA-VD). Il n'y a en outre pas lieu d'allouer de dépens en l’espèce (art. 55 al. 1 a contrario et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