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GE.2016.0120 vom 11. April 2017</w:t>
      </w:r>
    </w:p>
    <w:p>
      <w:r>
        <w:t>VD Tribunal cantonal, 2017-04-11, FR</w:t>
      </w:r>
    </w:p>
    <w:p>
      <w:r>
        <w:rPr>
          <w:b/>
        </w:rPr>
        <w:t xml:space="preserve">Quelle: </w:t>
      </w:r>
      <w:r>
        <w:t>https://mcp.opencaselaw.ch/entscheid/vd_omni_GE.2016.0120</w:t>
      </w:r>
    </w:p>
    <w:p>
      <w:r>
        <w:t>FR: VD_OMNI GE.2016.0120 du 11 avril 2017</w:t>
      </w:r>
    </w:p>
    <w:p>
      <w:r>
        <w:t>IT: VD_OMNI GE.2016.0120 del 11 aprile 2017</w:t>
      </w:r>
    </w:p>
    <w:p>
      <w:pPr>
        <w:pStyle w:val="Heading2"/>
      </w:pPr>
      <w:r>
        <w:t>Regeste</w:t>
      </w:r>
    </w:p>
    <w:p>
      <w:r>
        <w:t>A.________ /Service de la promotion économique et du commerce (SPECo), Municipalité de ********, Police cantonale | Confirmation de la sanction prononcée par le SPEco à l'encontre du tenancier d'un café-bar consistant en une interdiction de servir et de vendre des boissons alcooliques durant un mois dans ou à partir du café-bar et des locaux attenants. Le service et la vente d'alcool distillé à des mineurs âgés de 16 et 13 ans constitue un fait grave, le service et la vente de bière à une personne déjà alcoolisée représentant une circonstance aggravante. La sanction prononcée est dès lors conforme au principe de la proportionnalité. Recours rejeté.</w:t>
      </w:r>
    </w:p>
    <w:p>
      <w:pPr>
        <w:pStyle w:val="Heading2"/>
      </w:pPr>
      <w:r>
        <w:t>Erwägungen</w:t>
      </w:r>
    </w:p>
    <w:p>
      <w:r>
        <w:rPr>
          <w:b/>
        </w:rPr>
        <w:t>E. 1</w:t>
      </w:r>
    </w:p>
    <w:p>
      <w:r>
        <w:t>Le recourant demande, à titre de mesure d'instruction, l'audition de personnes pouvant venir témoigner de sa bonne foi et de l'attention qu'il porte à respecter les dispositions légales applicables. Il requiert en outre la tenue d'une audience, afin d'être entendu personnellement.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6B_1155/2015 du 14 mars 2016 consid. 2.2; 1C_608/2014 du 3 septembre 2015 consid. 2.1). b) Il n'apparaît pas que la bonne foi du recourant aurait été mise en doute; l'autorité intimée ne prétend pas qu'il aurait mal informé son personnel quant aux dispositions légales applicables ou intentionnellement cherché à violer les règles applicables. L'audition de témoins, visant à prouver un fait qui n'est ni contesté ni particulièrement pertinent pour l'issue du litige, est donc superflue. S'agissant de la requête en fixation d'une audience pour être entendu oralemement, le Tribunal s'estime en l'espèce suffisamment renseigné sur la base du dossier, qui contient notamment les protocoles d'audition du recourant auprès du SPECo, pour juger en toute connaissance de cause. Le droit d'être entendu du recourant a été respecté durant la procédure devant l'autorité inférieure; il a en outre eu l'occasion de s'exprimer par écrit, à deux reprises, dans le cadre de la présente procédure. Il n'y ainsi pas lieu de donner suite à cette requête.</w:t>
      </w:r>
    </w:p>
    <w:p>
      <w:r>
        <w:rPr>
          <w:b/>
        </w:rPr>
        <w:t>E. 2</w:t>
      </w:r>
    </w:p>
    <w:p>
      <w:r>
        <w:t>Il est également interdit : a. d'inciter le personnel à consommer des boissons alcooliques avec la clientèle ; b. d'augmenter la vente ou la consommation de boissons alcooliques par des jeux ou des concours ; c. d'organiser des concours proposant comme gains des boissons alcooliques consommées sur place ; d. de pratiquer la vente ou la remise de boissons alcooliques impliquant des cadeaux ou d'autres avantages tendant à séduire le consommateur ; e. de proposer la vente de boissons alcooliques à un prix fixe, quelle que soit la quantité remise.</w:t>
      </w:r>
    </w:p>
    <w:p>
      <w:r>
        <w:rPr>
          <w:b/>
        </w:rPr>
        <w:t>E. 3</w:t>
      </w:r>
    </w:p>
    <w:p>
      <w:r>
        <w:t>a) Les sanctions administratives n'ont pas tant pour but de punir que d'obtenir le respect des règles légales. Dans l'application de ces mesures, l'administration est liée par les principes généraux du droit administratif (cf. arrêts GE.2016.0195 du 22 février 2017 consid. 2a; GE.2007.0241 du 26 juin 2008 consid. 2). En particulier, le principe de la proportionnalité (garanti par l'art. 5 al. 2 Cst.) implique, sur le plan de la procédure, un avertissement préalable à la mesure, dont on ne pourra se passer que s'il y a urgence ou si le comportement répréhensible est à ce point grave qu'il mérite une mesure immédiate; ainsi, dans la règle, le destinataire pourra se corriger lui-même et éviter une sanction (Pierre Moor, Etienne Poltier, Droit administratif, volume II, 3 e éd., Berne 2011, p. 136; cf. aussi arrêt GE.2016.0195 du 22 février 2017 consid. 2a). Ainsi, de manière générale, l'avertissement prépare et favorise une mesure ultérieure qui, autrement, pourrait être jugée contraire au principe de la proportionnalité (cf. arrêts GE.2016.0195 du 22 février 2017 consid. 2a; GE.2013.0042 du 21 octobre 2013 consid. 3b).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Mais elle tiendra compte aussi, dans les cas de moindre importance, des effets de la sanction sur l'intéressé ou de son comportement passé (Moor, Poltier, op. cit., p. 136). b) Le principe de la proportionnalité, prescrit par l'art. 5 al. 2 Cst., exige qu'il y ait un rapport raisonnable entre le but d'intérêt public poursuivi et le moyen choisi pour l'atteindre (cf. arrêts du TAF A-3713/2008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(arrêt TAF A-5414/2012 du 19 juin 2014 consid. 2.5.1). Ce principe se décompose en trois maximes: celle de l'aptitude, celle de la nécessité, ainsi que celle de la proportion, autrement-dit "la proportionnalité au sens étroit" (cf. ATF 136 I 17 consid. 4.4; 135 I 246 consid. 3.1; 130 II 425 consid. 5.2; 124 I 40 consid. 3e). c) En l’espèce, la simple vente d'alcool à des mineurs constitue un fait grave, ce qui a été à maintes reprises confirmé par la jurisprudence (cf. arrêts GE.2016.0195 du 22 février 2017 consid. 2c; GE.2013.0042 du 21 octobre 2013 consid. 4; GE.2008.0114 du 31 octobre 2008 consid. 5b/bb; GE.2003.0114 du 17 mai 2004 consid. 4 et 7). La serveuse travaillant dans l'établissement du recourant a en effet servi des cocktails, contenant de l'alcool distillé, à des jeunes de 16 et 13 ans. Il est de plus avéré, circonstance aggravante, que de l'alcool a été servi à la mère d'un des mineurs présents, malgré son état d'ébriété manifeste (2.19‰; cf. également rapport du SPECo du 15 juillet 2016, p. 5 : " (...) se trouvait dans un état d'ivresse si avancé qu'elle tenait des propos incohérents et qu'il nous était difficile de comprendre tous ses dires "). En outre, sans que cela n'ait été retenu contre le recourant, dont l'absence d'antécédents plaide en sa faveur, il apparaît probable que des boissons alcoolisées soient régulièrement servies à des consommateurs potentiellement déjà ivres, vu le type de clientèle fréquentant l'établissement, " principalement composée de personnes alcoolisées ou consommatrices de quantités importantes d'alcool " (cf. les propos du recourant dans le rapport du SPECo du 15 juillet 2016, p. 9-10). Les faits susmentionnés sont constitutifs d'une infraction à la LADB devant être qualifié de grave, ce que le recourant avait d'ailleurs admis lors du contrôle du 3 juin 2016 (cf. rapport du SPECo du 15 juillet 2016, p. 7). Le prononcé d'un avertissement n'entre ainsi pas en ligne de compte, celui-ci étant réservé, aux termes de la lettre de la loi, aux " infractions de peu de gravité " (cf. art. 62 LADB). S'agissant de la jurisprudence invoquée par le recourant, qui est antérieure à la novelle de 2015, il y a lieu de souligner que la volonté claire, exprimée par le législateur à l'occasion de la révision de la LADB, justifie que les sanctions prononcées soient tendanciellement plus sévères qu'avant la révision. La décision attaquée, qui consiste à interdire le service et la vente d'alcool pendant un mois, est certes susceptible de porter une atteinte grave aux intérêts économiques du recourant, qui se verra éventuellement contraint de fermer ou de réduire les horaires d'ouverture de son établissement pendant cette période. Néanmoins, compte tenu de la gravité des faits et de la volonté claire du législateur de faire preuve d'une sévérité certaine dans ce domaine (pour des motifs de santé publique en général et de protection de la jeunesse en particulier, cf. consid. 2c supra ), il y a lieu de retenir que la sanction respecte le principe de la proportionnalité. Il convient de suivre l'autorité intimée lorsqu'elle souligne qu'admettre le contraire irait à l'encontre des motifs ayant conduit à la modification du cadre légal en 2015 et délivrerait un message contre-productif aux différents acteurs de la branche. L'art. 61 LADB prévoit simplement que le département peut prononcer une interdiction, temporaire ou définitive, de vendre et de servir des boissons alcooliques en cas d'infraction aux dispositions de la présente loi en rapport avec la vente de telles boissons. L'autorité a donc une marge de manœuvre importante, que le tribunal ne revoit qu'avec retenue (cf. arrêt GE.2016.0195 du 22 février 2017 consid. 2c, et la référence citée). En prononçant une telle interdiction, limitée dans le temps, plutôt qu'une interdiction définitive ou la fermeture, définitive ou pour une durée limitée, de l'établissement, l'autorité intimée a fait une correcte application du principe de proportionnalité. Il s'ensuit que le grief du recourant, relatif à une violation du principe de la proportionnalité, doit être rejeté et la mesure confirmée.</w:t>
      </w:r>
    </w:p>
    <w:p>
      <w:r>
        <w:rPr>
          <w:b/>
        </w:rPr>
        <w:t>E. 4</w:t>
      </w:r>
    </w:p>
    <w:p>
      <w:r>
        <w:t>Le recours doit ainsi être rejeté et la décision attaquée confirmée. Compte tenu de l'effet suspensif accordé au recours, il appartiendra au SPECo de fixer de nouvelles dates pour l'exécution de la décision attaquée. Les frais sont mis à la charge du recourant,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