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GE.2016.0083 vom 20. Oktober 2016</w:t>
      </w:r>
    </w:p>
    <w:p>
      <w:r>
        <w:t>VD Tribunal cantonal, 2016-10-20, FR</w:t>
      </w:r>
    </w:p>
    <w:p>
      <w:r>
        <w:rPr>
          <w:b/>
        </w:rPr>
        <w:t xml:space="preserve">Quelle: </w:t>
      </w:r>
      <w:r>
        <w:t>https://mcp.opencaselaw.ch/entscheid/vd_omni_GE.2016.0083</w:t>
      </w:r>
    </w:p>
    <w:p>
      <w:r>
        <w:t>FR: VD_OMNI GE.2016.0083 du 20 octobre 2016</w:t>
      </w:r>
    </w:p>
    <w:p>
      <w:r>
        <w:t>IT: VD_OMNI GE.2016.0083 del 20 ottobre 2016</w:t>
      </w:r>
    </w:p>
    <w:p>
      <w:pPr>
        <w:pStyle w:val="Heading2"/>
      </w:pPr>
      <w:r>
        <w:t>Regeste</w:t>
      </w:r>
    </w:p>
    <w:p>
      <w:r>
        <w:t>A.________Sàrl/Service de l'emploi (SDE) | Travailleur mis à disposition d'une société locataire de services par un contrat de prêt de main d'oeuvre. Contrôle révélant que ce travailleur, dont l'identité ne correspondait pas à celle figurant dans le contrat, n'avait pas d'autorisation de séjour et de travail. Sommation prononcée à l'encontre de la société locataire de services et frais de contrôle mis partiellement à sa charge. Recours de la société contre ces deux décisons. Violation du devoir de diligence, la société locataire de services, assimilée à un employeur selon l'art. 91 LEtr, ayant omis de contrôler l'identité du travailleur présent sur le chantier. Une vérification auprès des organisations patronales n'était pas suffisante. Proportionnalité de la sanction admise. Frais du contrôle confirmés dans la mesure où ils ont fait l'objet d'une répartition entre la recourante et l'employeur du travailleur. Recours rejeté et décisions confirmées.</w:t>
      </w:r>
    </w:p>
    <w:p>
      <w:pPr>
        <w:pStyle w:val="Heading2"/>
      </w:pPr>
      <w:r>
        <w:t>Erwägungen</w:t>
      </w:r>
    </w:p>
    <w:p>
      <w:r>
        <w:rPr>
          <w:b/>
        </w:rPr>
        <w:t>E. 1</w:t>
      </w:r>
    </w:p>
    <w:p>
      <w:r>
        <w:t>Les décisions attaquées émanent d’une autorité administrative, soit le SDE, et ne sont pas susceptibles d’un recours devant une autre autorité (art. 92 al. 1 de la loi vaudoise du 28 octobre 2008 sur la procédure administrative, LPA-VD ; RSV 173.36). Le Tribunal cantonal est donc compétent. Déposé en temps utile (art. 95 LPA-VD) et dans les formes prescrites par la loi (art. 79 LPA-VD), le recours satisfait pour le surplus aux autres conditions de recevabilité si bien qu’il y a lieu d’entrer en matière sur le fond.</w:t>
      </w:r>
    </w:p>
    <w:p>
      <w:r>
        <w:rPr>
          <w:b/>
        </w:rPr>
        <w:t>E. 2</w:t>
      </w:r>
    </w:p>
    <w:p>
      <w:r>
        <w:t>Est considérée comme activité lucrative toute activité salariée ou indépendante qui procure normalement un gain, même si elle est exercée gratuitement.</w:t>
      </w:r>
    </w:p>
    <w:p>
      <w:r>
        <w:rPr>
          <w:b/>
        </w:rPr>
        <w:t>E. 3</w:t>
      </w:r>
    </w:p>
    <w:p>
      <w:r>
        <w:t>La recourante conteste également la décision du 13 mai 2016 de l’autorité intimée mettant à sa charge les frais du contrôle effectué le 11 janvier 2016 (recours GE.2016.0083).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Dans un arrêt GE.2009.0070 du 9 octobre 2009, la Cour de céans a jugé que lorsqu'un contrôle concerne plusieurs entreprises, il n'est pas possible d'en facturer la totalité des frais à la seule entreprise qui se trouve en situation irrégulière. A défaut, on permettrait à l'autorité intimée, si elle facture des frais à plusieurs contrevenants différents lors du même contrôle, de prélever plusieurs fois le même montant, ce qui serait contraire au principe de la couverture des coûts (v. en outre arrêt GE.2014.0010 du 25 février 2015). e) En l'espèce, la recourante se borne à contester le principe de mise à sa charge des frais de contrôle dès lors qu’elle estime n’avoir commis aucune faute. Or, comme on l’a exposé sous consid. 2c ci-dessus, le contrôle du 11 janvier 2016 a permis d’établir que la recourante avait violé son devoir de diligence en omettant de vérifier l’identité réelle du travailleur E.________ ainsi que son statut auprès de l’autorité compétente. En outre, il ressort du dossier que les frais du contrôle du 11 janvier 2016 n’ont pas été entièrement mis à la charge de la recourante mais qu’ils ont fait l’objet d’une répartition entre C.________Sàrl, à hauteur de 1'225 fr., et la recourante, pour 550 fr. Ainsi, toutes les opérations en lien avec le contrôle sur place et l’activité de la police ont été facturées à C.________Sàrl. Les heures de travail facturées à la recourante, soit 5h30 comprenant l’examen du dossier et la rédaction de courrier, ne sont pas contestées par la recourante et échappent pour le surplus à toute critique. Il convient donc également de confirmer la décision rendue le 13 mai 2016 par le SDE mettant à la charge de la recourante les frais de contrôle par 550 fr. 4.                a) En définitive, il résulte de ce qui précède que le recours, entièrement mal fondé, doit être rejeté et les décisions rendues par le SDE confirmées. b) La recourante, qui succombe, supporte un émolument de justice (art. 49 al. 1 LPA-VD ; art. 4 al. 1 du Tarif des frais judiciaires et des dépens en matière administrative, TFJDA, RSV 173.36.5.1). Dès lors qu’elle n’obtient pas gain de cause, la recourante, bien que représentée par un mandataire professionnel, n’a pas droit à l’allocation d’une indemnité pour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