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GE.2016.0073 vom 11. Juli 2017</w:t>
      </w:r>
    </w:p>
    <w:p>
      <w:r>
        <w:t>VD Tribunal cantonal, 2017-07-11, FR</w:t>
      </w:r>
    </w:p>
    <w:p>
      <w:r>
        <w:rPr>
          <w:b/>
        </w:rPr>
        <w:t xml:space="preserve">Quelle: </w:t>
      </w:r>
      <w:r>
        <w:t>https://mcp.opencaselaw.ch/entscheid/vd_omni_GE.2016.0073</w:t>
      </w:r>
    </w:p>
    <w:p>
      <w:r>
        <w:t>FR: VD_OMNI GE.2016.0073 du 11 juillet 2017</w:t>
      </w:r>
    </w:p>
    <w:p>
      <w:r>
        <w:t>IT: VD_OMNI GE.2016.0073 del 11 luglio 2017</w:t>
      </w:r>
    </w:p>
    <w:p>
      <w:pPr>
        <w:pStyle w:val="Heading2"/>
      </w:pPr>
      <w:r>
        <w:t>Regeste</w:t>
      </w:r>
    </w:p>
    <w:p>
      <w:r>
        <w:t>A.________/Département de la santé et de l'action sociale | Psychiatre qui a eu des relations sexuelles avec une patiente entre 2003 et 2005. Patiente qui avait été abusée sexuellement par le passé. Dénonciation de la patiente. Classement de la procéure pénale en raison de la prescription. Nouvelle dénonciation d'une patiente qui invoque, d'une part, une relation ambigüe avec le psychiatre dans les dernières semaines de la thérapie et, d'autre part, le fait qu'elle a eu des relations sexuelles avec lui peu de temps après la fin de la thérapie. Sanction prononcée par le DSAS: amende, publication de la décision et astreinte à un suivi thérapeutique. Recours contre la décision du DSAS en tant qu'elle ordonne la publication de la sanction. Confirmation du fait que la publication se justifie par un but de prévention générale et d'information de la population. Rejet du recours. Recours au Tribunal fédéral admis par arrêt du 11 juillet 2017 (2C_1062/2016).</w:t>
      </w:r>
    </w:p>
    <w:p>
      <w:pPr>
        <w:pStyle w:val="Heading2"/>
      </w:pPr>
      <w:r>
        <w:t>Erwägungen</w:t>
      </w:r>
    </w:p>
    <w:p>
      <w:r>
        <w:rPr>
          <w:b/>
        </w:rPr>
        <w:t>E. 1</w:t>
      </w:r>
    </w:p>
    <w:p>
      <w:r>
        <w:t>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les sanctions administratives suivantes: a. l'avertissement; b. le blâme; c. l'amende de Fr. 500.- à Fr. 200'000.-; d. la mise en place de conditions, la limitation, la suspension, le retrait temporaire ou définitif de l'autorisation de pratiquer, d'exploiter ou de diriger ou encore le retrait de la qualité de responsable. e. la fermeture des locaux; f. l'interdiction de pratiquer.</w:t>
      </w:r>
    </w:p>
    <w:p>
      <w:r>
        <w:rPr>
          <w:b/>
        </w:rPr>
        <w:t>E. 2</w:t>
      </w:r>
    </w:p>
    <w:p>
      <w:r>
        <w:t>Ces sanctions peuvent être cumulées.</w:t>
      </w:r>
    </w:p>
    <w:p>
      <w:r>
        <w:rPr>
          <w:b/>
        </w:rPr>
        <w:t>E. 3</w:t>
      </w:r>
    </w:p>
    <w:p>
      <w:r>
        <w:t>Sauf dans les cas où un avertissement est prononcé, le département peut publier la décision prononcée dès qu'elle est exécutoire.</w:t>
      </w:r>
    </w:p>
    <w:p>
      <w:r>
        <w:rPr>
          <w:b/>
        </w:rPr>
        <w:t>E. 4</w:t>
      </w:r>
    </w:p>
    <w:p>
      <w:r>
        <w:t>Les compétences de la Commission d'examen des plaintes, figurant à l'article 15d, alinéa 4, lettre c de la présente loi sont réservées". La teneur de cet article reprend en substance celle de l’art. 43 de la loi fédérale du 23 juin 2006 sur les professions médicales universitaires (LPMéd; RS 811.11), laquelle introduit, pour les personnes exerçant une profession médicale universitaire à titre indépendant, des devoirs professionnels uniformes et exhaustifs pour toute la Suisse (FF 2005 157ss, p. 207 s.). Parmi ceux-ci figure notamment l’obligation d’exercer avec soin et conscience professionnelle (art. 40 let. a LPMéd). b)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du TF 2P.133/2003 du 28 juillet 2003 consid. 4.2.1 et les références citées; arrêt de la CDAP GE.2010.0105 du 30 mai 2011 consid. 6b/aa). 2. a) aa) En l'espèce, le recourant ne conteste pas le blâme et l'amende qui lui ont été infligés. Il ne conteste également pas l'obligation de suivi thérapeutique auquel il est astreint. Est dès lors seule litigieuse la décision de publier la sanction dans la FAO. Le recourant conteste l'intérêt public de cette mesure. Il soutient qu'elle ne sert aucun but de prévention générale. Il invoque à cet égard le fait que, compte tenu de la gravité des autres sanctions prononcées, il ne récidivera pas. Il fait également valoir que les "victimes potentielles" ne lisent pas la FAO et que la publication ne servira qu'à le stigmatiser au sein de son milieu professionnel, ce qui n'est pas le but voulu par la loi. Il évoque également le risque que des patients fragilisés aient connaissance de sa condamnation, ce qui risquerait de compromettre la relation de confiance établie, indispensable pour la poursuite du traitement. Il soutient que la sanction est déjà suffisamment sévère et que la condamnation indirecte que constitue sa publication ne serait nullement justifiée par les circonstances. Dans les deux cas qui lui sont reprochés, Il conteste dans ses écritures avoir porté préjudice à ses patientes. bb) Dans sa réponse au recours, l'autorité intimée justifie la publication de la sanction par un but de prévention générale et d'information de la population. Elle relève qu'elle n'a pas d'influence sur le choix du médecin par les patients et qu'en publiant une sanction prononcée à l'encontre d'un médecin, elle souhaite rendre attentive la population au fait qu'un professionnel a été sanctionné. b) Le recourant ne conteste pas avoir, en 2003 et en 2005, entretenu des relations sexuelles avec une patiente qui, selon ses déclarations, l'avait consulté dans les années 1990 en raison d'abus sexuels dont elle avait été la victime dans son pays d'origine (cf. ordonnance de classement du Ministère public de l'arrondissement de Lausanne du 27 février 2015, p. 1). De tels agissements, commis à l'encontre d'une personne fragilisée par son passé de victime d'abus sexuels et se trouvant dans une situation précaire en Suisse (absence de titre de séjour), sont graves. Ils ont amené le Ministère public à retenir que le recourant s'était rendu coupable d'abus de détresse au sens de l'art. 193 du Code pénal suisse. Dans son ordonnance rendue le 27 février 2015, le Ministère public a ainsi relevé que le recourant avait profité du lien de confiance l'unissant à sa patiente et de la situation émotionnelle et de dépendance de celle-ci vis-à-vis de leur relation thérapeutique pour ne pas la dissuader d'avoir des relations sexuelles et d'ordre sexuel avec lui. Il a considéré comme établi le fait que le recourant n'ignorait rien du vécu et de la situation de sa patiente, en particulier des difficultés de celle-ci à avoir confiance en elle, se défendre et s'éloigner des personnes lui faisant mal. Il a également considéré comme établi que le recourant n'ignorait rien du fait que les relations entre un médecin psychiatre et son patient se placent dans un contexte d'infériorité et sont donc toujours inadéquates (cf. ordonnance précitée, p. 6). Le tribunal de céans n'a pas de raison de s'écarter des constatations figurant dans l'ordonnance de classement du Ministère public. Il convient par conséquent de retenir que, s'agissant des faits qui se sont passés en 2003 et 2005, le recourant n'a pas hésité à adopter dans le cadre de son activité de psychiatre un comportement susceptible de porter préjudice à sa patiente, ceci pour satisfaire ses propres pulsions sexuelles. Contrairement à ce que semble soutenir le recourant, il y a lieu de constater que la patiente concernée a souffert de ses agissements, comme le démontre le fait qu'elle a fini par déposer une plainte pénale. Compte tenu de l'intérêt public lié à la protection des patients que poursuivent les sanctions prévues par la LSP, le fait que les agissements en question n'aient pas abouti à une condamnation pénale en raison de la prescription n'empêche pas d'en tenir compte dans le cadre du présent litige administratif. Il convient par conséquent de considérer que, en ayant entretenu des relations sexuelles avec une autre de ses patientes quelques années plus tard, le recourant a récidivé en prenant à nouveau le risque de porter préjudice à une personne fragilisée pour satisfaire ses pulsions sexuelles. S'il diminue un peu sa responsabilité, le fait que les relations sexuelles aient eu lieu après la fin de la thérapie n'empêche pas que le comportement du recourant n'est pas admissible. De même, ce dernier ne saurait se retrancher derrière le fait qu'il a apparemment fait l'objet d'une démarche de séduction appuyée de la part de sa patiente. En réalité, son attitude démontre une incapacité à gérer ce genre de situation, ce qu'il admet au demeurant puisque, lors de son audition par la délégation le 15 février 2016, il a reconnu ne pas être assez catégorique avec les femmes patientes. On peut également nourrir quelques doutes sur la question de savoir si le recourant a pleinement conscience des conséquences possibles de ses agissements sur les patientes. Dans son rapport du 18 février 2016, la délégation, après l'avoir entendu quelques jours avant, relevait ainsi qu'il semblait totalement banaliser et minimiser les fautes commises et nier leur impact sur des personnes qualifiées de victimes par la délégation. Cette dernière s'étonnait également des affirmations du recourant selon lesquelles les relations entretenues n'avaient eu aucune conséquence sur le traitement, ceci malgré les affirmations contraires des patientes. c) Compte tenu des éléments mentionnés ci-dessus, c'est à juste titre que l'autorité intimée a considéré que la publication de la sanction se justifiait dans un but de prévention générale et d'information de la population, soit plus particulièrement des patientes potentielles. Cette publication répond ainsi à un intérêt public important, qui l'emporte sur l'intérêt invoqué par le recourant à ne pas être stigmatisé au sein de son milieu professionnel. Le tribunal de céans considère également qu'il est dans l'intérêt des patients actuels du recourant d'être informés, quand bien même cela pourrait porter atteinte à la relation de confiance établie. 3. Il résulte des considérants qui précèdent que le recours doit être rejeté et la décision attaquée confirmée. Vu le sort du recours, les frais de la cause sont mis à la charge du recourant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