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GE.2016.0070 vom 30. Mai 2017</w:t>
      </w:r>
    </w:p>
    <w:p>
      <w:r>
        <w:t>VD Tribunal cantonal, 2017-05-30, FR</w:t>
      </w:r>
    </w:p>
    <w:p>
      <w:r>
        <w:rPr>
          <w:b/>
        </w:rPr>
        <w:t xml:space="preserve">Quelle: </w:t>
      </w:r>
      <w:r>
        <w:t>https://mcp.opencaselaw.ch/entscheid/vd_omni_GE.2016.0070</w:t>
      </w:r>
    </w:p>
    <w:p>
      <w:r>
        <w:t>FR: VD_OMNI GE.2016.0070 du 30 mai 2017</w:t>
      </w:r>
    </w:p>
    <w:p>
      <w:r>
        <w:t>IT: VD_OMNI GE.2016.0070 del 30 maggio 2017</w:t>
      </w:r>
    </w:p>
    <w:p>
      <w:pPr>
        <w:pStyle w:val="Heading2"/>
      </w:pPr>
      <w:r>
        <w:t>Regeste</w:t>
      </w:r>
    </w:p>
    <w:p>
      <w:r>
        <w:t>A.________, B.________/Municipalité de Noville, POLICE CANTONALE, Municipalité de Villeneuve, Direction générale de l'environnement (DGE), C.________ | Les informations sur lesquelles le recourant se fonde pour demandee la récusation du syndic résultent du Registre du commerce. Ces informations sont publiées et portées ainsi à la connaissance de tout-un-chacun. Il appartenait au recourant d’invoquer d’emblée le motif de récusation, qui est tardif lorsqu'il est invoqué pendant la procédure de recours.</w:t>
      </w:r>
    </w:p>
    <w:p>
      <w:pPr>
        <w:pStyle w:val="Heading2"/>
      </w:pPr>
      <w:r>
        <w:t>Erwägungen</w:t>
      </w:r>
    </w:p>
    <w:p>
      <w:r>
        <w:rPr>
          <w:b/>
        </w:rPr>
        <w:t>E. 1</w:t>
      </w:r>
    </w:p>
    <w:p>
      <w:r>
        <w:t>a) La qualité pour exercer un recours suppose notamment un intérêt digne de protection à l'annulation ou à la modification de la décision attaquée (art. 75 al. 1 let. a LPA-VD). L'intérêt au recours doit néanmoins être pratique et actuel, le Tribunal ne devant se prononcer que sur des questions concrètes et non pas théoriques (ATF 131 I 153 consid. 1.2; 127 III 429 consid. 1b). L'intérêt actuel fait en particulier défaut lorsque la décision attaquée a été exécutée ou est devenue sans objet (ATF 125 II 86 consid. 5b; 120 Ia 165 consid. 1a et les arrêts cités). Le Tribunal renonce toutefois à l'exigence d'un intérêt actuel lorsque cette condition de recevabilité fait obstacle au contrôle de la constitutionnalité d'un acte qui pourrait se reproduire en tout temps, dans des circonstances semblables, et qui, en raison de sa brève durée ou de ses effets limités dans le temps, échapperait ainsi toujours à la censure de la cour (intérêt dit "virtuel "; ATF 136 III 497 consid. 1.1; 131 II 670 consid. 1.2; 128 II 34 consid. 1b). b) En l’espèce, la date de la manifestation du 8 mai 2016 est largement écoulée et la recourante ne peut plus démontrer un intérêt actuel. Toutefois, l’instruction de la cause montre que les délais liés à l’instruction des demandes présentées par la recourante sont tels qu’il est pratiquement impossible à l’autorité de recours de statuer avant le jour prévu pour la manifestation une fois que les décisions des autorités concernant la demande ont été notifiées. Cette situation, qui s’est répétée une deuxième fois pour la manifestation prévue le 3 septembre 2016 pourrait ainsi se reproduire en tout temps, notamment en lien avec le site de forage de Noville. La question de l'admission des forages sur le territoire fait en effet débat, comme le montre le lancement récent de l'initiative populaire cantonale "Pour un canton de Vaud sans extraction d'hydrocarbures" visant l'interdiction de la prospection, de l’exploration et de l’extraction des hydrocarbures sur le territoire cantonale (FAO du 10 mars 2017). Les conditions requises par la jurisprudence pour reconnaître un intérêt virtuel permettant d’entrer en matière sur le fond du recours sont donc remplies.</w:t>
      </w:r>
    </w:p>
    <w:p>
      <w:r>
        <w:rPr>
          <w:b/>
        </w:rPr>
        <w:t>E. 2</w:t>
      </w:r>
    </w:p>
    <w:p>
      <w:r>
        <w:t>a) On rappelle que les conclusions principales du recours de A.________ sont formulées dans les termes suivants : « I La décision attaquée est annulée. IIa) Il est autorisé d’organiser une manifestation le 3 septembre 2016 de 14h à 17h30 selon un itinéraire à fixer par le juge et se terminant non loin du site de forage. IIb) Subsidiairement, il est autorisé d’organiser une manifestation, assorties de charges et de conditions, le 3 septembre 2016 de 14h à 17h30 selon un itinéraire à fixer par le juge et se terminant non loin du site de forage. II c) Plus subsidairement, le dossier et renvoyé à l’autorité précédente pour décision dans le sens des considérants. III Les frais et dépens sont mis à la charge de la Municipalité de Noville. » b) En procédure administrative toutefois, l'objet du recours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(cf. art. 79 LPA-VD; cf. arrêt AC.2014.0300 du 22 décembre 2015 consid. 2). c) En l’espèce, la décision de la Municipalité de Noville du 15 avril 2016 refuse d’autoriser la manifestation selon le parcours annoncé par la recourante dans le formulaire POCAMA, à savoir sur les routes cantonales RC 780 (traversée du secteur des Fourches par la route du Simplon) et RC 725 (route d’Evian jusqu’à Noville). L’objet du litige est donc défini par la décision concernant le parcours envisagé par l’organisatrice de la manifestation. La décision de la Municipalité de Noville ne se prononce pas sur un autre itinéraire mais refuse le tracé envisagé par la recourante. La conclusion principale IIa) tendant à ce que la décision attaquée soit réformée en ce sens qu'une manifestation (marche) soit autorisée selon un itinéraire à définir par le tribunal, est irrecevable, car elle est exorbitante de l'objet de la contestation (cf. art. 79 al. 2 1ère phr. LPA-VD). La décision attaquée se rapporte à une marche avec un itinéraire bien défini. Si la recourante voulait s'en remettre au choix de l'autorité pour ce qui est de l'itinéraire, elle devait le faire dans le cadre d'une nouvelle demande d'autorisation auprès de la commune. C’est d’ailleurs ce que le recourant B.________ a fait en déposant le 27 juin 2016, le formulaire de demande POCAMA pour l’itinéraire traversant la réserve des Grangettes pour la date du 3 septembre 2016. Le tribunal ne peut d’aucune manière fixer l’itinéraire de la manifestation, car il ne dispose pas de l’outil de coordination POCAMA et ignore les conditions qui seraient posées par les différents services concernés de l’administration cantonale et par les communes territoriales. La conclusion principale IIa) est ainsi irrecevable. Il en va de même, et pour les mêmes motifs, de la conclusion subsidiaire IIb) tendant à autoriser une manifestation, assorties de charges et de conditions, le 3 septembre 2016 de 14h à 17h30 selon un itinéraire à fixer par le juge et se terminant non loin du site de forage. La dernière conclusion subsidiaire IIc) tendant à l'annulation de la décision attaquée et au renvoi à l'autorité intimée pour nouvelle décision dans le sens des considérants, est formellement recevable car elle se rapporte à l’objet du litige. Elle doit toutefois être rejetée dans la mesure où elle est recevable pour les raisons suivantes : La recourante A.________ n'a pas contesté la décision de la Police cantonale du 22 avril 2016 prise en application de l'art. 8 al. 3 du règlement d'application de la loi vaudoise sur la circulation routière du 2 novembre 1977 (RLVCR; RSV 741.01.1) et interdisant le tracé prévu sur les deux routes cantonales RC 780 (route du Simplon) et RC 725 (route d’Evian) . Cette décision est définitive et elle est entrée en force, de sorte que l'itinéraire demandé pour l'organisation de la manifestation n'est pas possible. La recourante n'a pas non plus contesté les décisions de la Municipalité de Villeneuve du 7 avril 2016 et de la Municipalité de Rennaz du 13 avril 2016, refusant également l'autorisation communale pour cette manifestation. Il est vrai qu’il ne ressort pas clairement du dossier si la décision de la police cantonale du 22 avril 2016, résultant de la synthèse POCAMA, a été notifiée à la recourante. Il semble qu’une telle décision soit seulement notifiée à l’une des communes concernée par l’itinéraire prévu pour la manifestation, alors même que la procédure POCAMA est introduite par la recourante. L’art. 44 al. 1  LPA-VD imposerait de notifier la décision de synthèse à la requérante qui a déposé la demande, soit directement par la Police cantonale ou par la municipalité concernée. En l’espèce, il n’y a pas de preuve au dossier d’une notification à la recourante et une notification irrégulière ne peut porter aucun préjudice aux parties. Toutefois, la jurisprudence n'attache pas nécessairement la nullité à l'existence de vices dans la notification; la protection des parties est suffisamment garantie lorsque la notification irrégulière atteint son but malgré cette irrégularité (ATF 132 II 21 consid. 3.1 p. 27). A cet égard, le tribunal constate que dans le cadre de l’instruction du recours, la recourante a bien eu connaissance de la décision de la Police cantonale du 22 avril 2017, ce qu’elle atteste dans son écriture du 5 août 2016, et elle n’a pas manifesté son intention de contester cette décision, en indiquant qu’elle avait déposé une nouvelle demande POCAMA avec un parcours alternatif. Il faut en déduire que la recourante a renoncé à contester la décision cantonale du 22 avril 2017. La recourante ne peut donc pas remettre en cause les motifs retenus par la Municipalité de Noville dans sa décision du 15 avril 2016, qui portent précisément sur la question de l'utilisation des routes cantonales pour l'itinéraire de la manifestation. Bien que la Municipalité de Noville n'ait pas de compétence propre pour l'usage des routes cantonales, le refus communal, n'apparaît de toute manière pas critiquable compte tenu de la décision de la Police cantonale du 22 avril 2016, qui est entrée en force et le recours doit ainsi être rejeté dans la mesure où il est recevable.</w:t>
      </w:r>
    </w:p>
    <w:p>
      <w:r>
        <w:rPr>
          <w:b/>
        </w:rPr>
        <w:t>E. 3</w:t>
      </w:r>
    </w:p>
    <w:p>
      <w:r>
        <w:t>La recourante a invoqué un motif de récusation du Syndic de la Commune de Noville en mentionnant ses fonctions au sein des sociétés impliquées dans le forage litigieux. a) Toute personne a droit, dans une procédure judiciaire ou administrative, à ce que sa cause soit traitée équitablement et jugée dans un délai raisonnable (art. 29 al. 1 Cst.; 27 al. 1 Cst.-VD). Ces principes sont mis en œuvre par l’art. 9 de la loi vaudoise du 28 octobre 2008 sur la procédure administrative (LPA-VD; RSV 173.36), à teneur duquel doit se récuser toute personne appelée à rendre ou à préparer une décision, notamment si elle pourrait apparaître comme prévenue d’une autre manière, notamment en raison d’une amitié étroite ou d’une inimitié personnelle avec une partie ou son mandataire (let. e). Pour les municipalités, l’art. 65a de la loi sur les communes du 28 février 1956 (LC; RSV 175.11) prévoit une règle spéciale et une procédure appropriée pour la récusation de l’un des membres du collège municipal. Cette disposition précise qu’un membre de la municipalité ne peut prendre part à une décision ou à une discussion lorsqu'il a un intérêt personnel ou matériel à l'affaire à traiter. Il doit se récuser spontanément ou, à défaut, être récusé par un membre de la municipalité ou par le collège. La municipalité statue sur la récusation (al. 1). Les décisions sur la récusation et sur l'affaire à traiter sont prises à la majorité des membres restants de la municipalité (al. 2). Il est fait mention de la récusation au procès-verbal et sur l'extrait de décision (al. 3). La jurisprudence du Tribunal fédéral considère que de manière générale, les dispositions sur la récusation sont moins sévères pour les membres des autorités administratives que pour les autorités judiciaires (TF 2C_831/2011 du 30 décembre 2011; dans le même sens pour la jurisprudence cantonale: arrêts AC. 2014.0066 du 30 juin 2014 consid. 1a; AC.2007.0158 du 7 mai 2012 consid. 1b; AC.2006.0213 du 13 mars 2008 consid. 3). La garantie constitutionnelle n'impose en effet pas l'indépendance et l'impartialité comme maxime d'organisation d'autorités gouvernementales, administratives ou de gestion et n'offre pas, dans ce contexte, une garantie équivalente à celle applicable aux tribunaux (ATF 125 I 209 consid. 8a; TF 2C_127/2010 du 15 juillet 2011 consid. 5.2). L'apparence de prévention constitue un motif général de récusation. Il y a prévention lorsque certaines circonstances sont de nature à faire naître le doute sur l'impartialité du membre de l'autorité. Ces circonstances peuvent consister en un comportement personnel déterminé ou en certains éléments fonctionnels ou organisationnels. Dans les deux cas, l'apparence de prévention suffit, mais elle doit être objectivement fondée (arrêt AC.2014.0066 précité consid. 1a). b) L'art. 10 al. 2 LPA-VD précise encore que les parties qui souhaitent demander la récusation d'une autorité ou de l'un de ses membres doivent le faire dès connaissance du motif de récusation. Selon la jurisprudence, il est contraire à la bonne foi d'attendre la procédure de recours pour demander la récusation d'un fonctionnaire alors que le motif de récusation était déjà connu auparavant. La partie ne saurait en effet garder en réserve le droit d'invoquer le moyen tiré de la composition irrégulière de l'autorité et l'invoquer qu'en cas d'issue défavorable de la procédure (arrêt GE.2010.0016 du 14 octobre 2010). c) En l'espèce, les informations concernant la fonction du Syndic de la Commune de Noville dans la société de la plaine du Rhône sont connues et publiques; elles peuvent être consultées sur le site internet du Registre du commerce du Canton de Vaud. Le motif de récusation pouvait être soulevé d'emblée avec le dépôt du recours, ou encore dans le cadre de la procédure de demande d’autorisation engagée au début du mois d’avril 2016. Il apparaît donc tardif et partant, irrecevable. B.- Recours de B.________ (GE.2016.0125)</w:t>
      </w:r>
    </w:p>
    <w:p>
      <w:r>
        <w:rPr>
          <w:b/>
        </w:rPr>
        <w:t>E. 4</w:t>
      </w:r>
    </w:p>
    <w:p>
      <w:r>
        <w:t>Pour les mêmes motifs que ceux indiqués ci-dessus au consid. 1b, la qualité pour recourir doit être admise sur la base d’un intérêt virtuel, car la situation est susceptible de se reproduire encore à plusieurs reprises en cas de nouvelle demande.</w:t>
      </w:r>
    </w:p>
    <w:p>
      <w:r>
        <w:rPr>
          <w:b/>
        </w:rPr>
        <w:t>E. 5</w:t>
      </w:r>
    </w:p>
    <w:p>
      <w:r>
        <w:t>a) L'itinéraire choisi par les organisateurs de la manifestation traverse la réserve des Grangettes régie par le plan d'affectation cantonal 291 (PAC 291). Le tracé est par ailleurs inclus dans le périmètre d'une réserve d'oiseaux d'eau et de migrateurs d'importance internationale au sens de l'ordonnance fédérale du 21 janvier 1991 sur les réserves d'oiseaux d'eau et de migrateurs d'importance internationale et nationale (OROEM; RS 922.32). Selon l'art. 5 al. 2 OROEM, l'organisation de réunions sportives et autres manifestations collectives n'est admise dans de telles réserves que s'il ne peut compromettre le but visé par la protection; "les organisateurs ont besoin d'une autorisation cantonale". Le tracé traverse aussi une forêt, de sorte que la manifestation nécessite l’autorisation cantonale requise par l’art. 29 de la loi forestière vaudoise du 8 mai 2012 (LVLFO; RSV 921.01). b) La décision de synthèse POCAM du 30 avril 2018 autorise la manifestation en fixant les conditions requises par la Direction générale de l’environnement (DGE), divisions Forêts et Biodiversité, en application de la LVLFo et de l’OROEM. Par ailleurs, le Bureau des manifestations de la Police cantonale a également autorisé la manifestation en application en fixant également les conditions particulières et les conditions générales à respecter par les organisateurs. L’une des conditions générales précise expressément que les organisateurs doivent être au bénéfice d’une autorisation de l’ensemble des communes concernées. c) En ce qui concerne les communes concernée par le parcours prévu pour la manifestation, la Municipalité de Villeneuve a autorisé la manifestation de 14h à 14h30 sur le territoire communal, dans ses déterminations du 2 septembre 2016. En revanche, la Municipalité de Noville a refusé en invoquant trois motifs principaux: La demande ne lui a pas été adressée en temps utile par les organisateurs. Elle n’est pas en possession des copies des pièces d’identité de tous les responsables des différents groupes participant à l’organisation de la manifestation. Elle n’a enfin pas pu se réunir pour délibérer sur la requête présentée par les organisateurs.</w:t>
      </w:r>
    </w:p>
    <w:p>
      <w:r>
        <w:rPr>
          <w:b/>
        </w:rPr>
        <w:t>E. 6</w:t>
      </w:r>
    </w:p>
    <w:p>
      <w:r>
        <w:t>a) Cela étant précisé, il convient de rappeler la portée des garanties constitutionnelles concernant les libertés d'opinion et de réunion. Selon l'ATF 132 I 256 consid. 4 (traduit in JdT 2007 I 327), le TF a résumé les principes des libertés d’opinion et de réunion concernant les manifestations sur le domaine public dans l'ATF 127 I 164 consid. 5 (JdT 2003 I 291). L'art. 16 Cst. garantit expressément la liberté d’opinion et confère à chaque personne le droit de se former librement une opinion, de l’exprimer et de la diffuser sans entraves. Y sont inclues les formes les plus diverses d'expression d’opinion. La liberté de réunion conformément à l’art. 22 Cst. garantit le droit d’organiser des réunions, d’y prendre part ou de ne pas y prendre part. Correspondent à la notion de réunion au sens de cette disposition les formes les plus diverses de regroupements de personnes dans le cadre d’une certaine organisation et dans le but, compris au sens large, de se former ou d'exprimer mutuellement une opinion (voir également ATF 132 I 49 consid. 5.3). b) Du point de vue des libertés d’opinion et de réunion, les manifestations qui requièrent une utilisation du domaine public présentent des caractéristiques particulières dues à leur usage accru du domaine public. De telles manifestations impliquent la mise à disposition d’une partie du domaine public, elles en limitent l'usage simultané par des non-manifestants et ne permettent plus, localement et temporairement, un usage commun. Cette situation exige qu’un ordre de priorité soit fixé entre les différents usagers et cela permet de soumettre la tenue de manifestations à l'exigence d'une autorisation. Les libertés d'opinion et de réunion ont comme caractéristique, en relation avec les manifestations, d’aller au-delà de purs droits de défense (face à l’Etat) et comportent une composante de prestation. Les droits fondamentaux imposent, dans certaines limites, que le domaine public soit mis à disposition ou que, selon les circonstances, un autre lieu soit proposé qui prenne en compte d’une autre manière le besoin de publicité des organisateurs. De plus, les autorités sont tenues, par des mesures appropriées, notamment par l'octroi d'une protection policière suffisante, de veiller à ce que les manifestations publiques puissent effectivement avoir lieu et qu’elles ne soient pas perturbées ou empêchées par des opposants. Dans le cadre de la procédure d'autorisation, l’autorité peut prendre en considération les motifs de police allant à l'encontre de la manifestation, l’utilisation adéquate des installations publiques disponibles dans l'intérêt de la collectivité et du voisinage ainsi que l'atteinte portée par la manifestation aux libertés des tiers non-manifestants. Font partie des motifs de police notamment ceux qui tiennent de la circulation publique ou privée, qui tendent à éviter des immissions excessives, à préserver la sécurité et à écarter des dangers directs découlant de débordements, de bagarres, de violences ainsi que d'atteintes et de délits de toutes sortes. L’ordre public ne permet pas des manifestations d’opinion qui sont liées à des actes illicites ou qui visent un but à caractère violent. Dans le cadre de la procédure d’autorisation, il y a lieu de tenir compte - en plus de l'interdiction de l’arbitraire et du principe de l’égalité - du caractère idéal des libertés d’opinion et de réunion; il n’est en particulier pas déterminant de savoir si les opinions et les intérêts défendus par les manifestants apparaissent comme étant plus ou moins valables aux yeux des autorités compétentes. Les différents intérêts doivent bien plutôt être mis en balance et pesés les uns par rapport aux autres d’un point de vue purement objectif. En respectant le principe de la proportionnalité, il est possible de fixer des charges et des conditions aux organisateurs ainsi que d’exiger de leur part une collaboration correspondante proportionnée. En ce sens, il existe en principe, sur la base des libertés d’opinion et de réunion, un droit constitutionnel d’utiliser le domaine public pour des manifestations avec appel au public. Lors de la procédure d’autorisation, il ne faut pas seulement examiner l’admissibilité respectivement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GE.2009.0196 du 16 octobre 2009). Les garanties contenues dans l’art. 11 CEDH (en relation avec l’art. 10 CEDH) ainsi que dans l’art. 21 Pacte ONU II ne vont pas au-delà de ces principes découlant des art. 16 et 22 Cst. concernant les manifestations sur le domaine public. c) Dans le canton, la liberté d'opinion est garantie par l'art. 17 de la Constitution du 14 avril 2003 du Canton de Vaud (Cst-VD; RSV 101.01), ainsi qu'il suit: Art. 17 Libertés d'opinion et d'information 1 Les libertés d'opinion et d'information sont garanties. 2 Elles comprennent : a. le droit de former, d'exprimer et de répandre librement son opinion, comme de s'en abstenir; b. le droit de recevoir librement des informations, de se les procurer aux sources généralement accessibles et de les diffuser; c.    le droit de consulter les documents officiels, dans la mesure où aucun intérêt prépondérant, public ou privé, ne s'y oppose. Quant à la liberté de réunion et de manifestation, elle est garantie par l'art. 21 Cst-VD. Les alinéas 2 et 3 de cette disposition constituent la base légale permettant de soumettre les manifestations organisées sur le domaine public à autorisation, de les interdire ou de les soumettre à des restrictions si l'ordre public est menacé, dans les termes suivants: Art. 21  Liberté de réunion et de manifestation 1   Toute personne a le droit d'organiser une réunion ou une manifestation et d'y prendre part. Nul ne peut y être contraint. 2   La loi ou un règlement communal peut soumettre à autorisation les manifestations organisées sur le domaine public. 3   L'Etat et les communes peuvent les interdire ou les soumettre à des restrictions si l'ordre public est menacé.</w:t>
      </w:r>
    </w:p>
    <w:p>
      <w:r>
        <w:rPr>
          <w:b/>
        </w:rPr>
        <w:t>E. 7</w:t>
      </w:r>
    </w:p>
    <w:p>
      <w:r>
        <w:t>Le règlement général de police de la Commune de Villeneuve soumet d'ailleurs les manifestations telles que celle prévue par le recourant à des autorisations municipales (voir par exemple art. 34 du Règlement général de police [RPG] de la Commune de Villeneuve), de même que celui de la Commune de Noville (art. 27 ss du règlement général de police de septembre 2016 (RGP-2016). a) En l’espèce, seule est litigieuse la décision de la Municipalité de Noville du 30 août 2016 refusant l’autorisation requise par le règlement communal pour le motif que le recours formé par A.________ (GE.2016.0070) n’était pas encore tranché par le tribunal. En effet la décision de la Municipalité de Villeneuve du 24 août 2016 refusant également d’autoriser la manifestation a été annulée par la décision subséquente du 2 septembre 2016 autorisant le rassemblement de la marche pacifique sous l’entière responsabilité de l’organisateur. En tant qu’il est dirigé contre la décision du 24 août 2016, le recours est par conséquent devenu sans objet. b) La manifestation organisée par le recourant constitue une manifestation sur le domaine public, avec appel au public. Les principes exposés ci-dessus sont donc applicables. Le recourant poursuit par ailleurs un but licite, à savoir la sensibilisation du public en vue de l'interdiction des travaux de forage dans le Canton de Vaud pour des motifs liés à la protection de l'environnement. La manifestation bénéficie donc des garanties constitutionnelles propres à la liberté d’opinion et de réunion prévues par les art. 16 et 22 Cst. Mais les libertés d’opinion et de réunion ne sont pas absolues et l’autorité peut apporter des restrictions à ces droits fondamentaux dans les limites de l’art. 36 Cst. Selon cette disposition, toute restriction d'un droit fondamental doit être fondée sur une base légale (al. 1) être justifiée par un intérêt public (al. 2) et elle doit être proportionnée au but visé (al. 3). Le recourant estime à cet égard que la décision attaquée – interdisant la manifestation – ne repose pas sur une base légale suffisante, qu’elle ne répondrait à aucun intérêt public prépondérant et violerait le principe de proportionnalité. c) Le Conseil communal de Noville a adopté le 13 octobre 2016 un nouveau règlement général de police (RGP), qui a été approuvé par le Département des institutions et de la sécurité le 5 novembre 2016. Ce règlement n’était pas en vigueur au moment où la municipalité a rendu la décision attaquée et il n’était donc pas encore applicable. Le tribunal statue en principe sur la base de l’état de fait existant et du droit en vigueur au moment où l’autorité intimée a rendu la décision attaquée. Toutefois, dès lors que le recours est recevable uniquement sur la base d’un intérêt virtuel, le tribunal tiendra compte de la nouvelle réglementation pour statuer sur le recours. L’art. 28 RGP soumet l’organisation d’une manifestation à une autorisation municipale (al.1); la demande doit être déposée dans un délai de 30 jours avant la tenue de la manifestation (al. 2). Selon l’art. 29 RGP, la municipalité évalue l’ensemble des intérêts touchés et notamment le danger que la manifestation pourrait faire courir à l’ordre public (al. 1); la municipalité peut assortir l’autorisation de conditions et charges en tenant compte des intérêts en jeux et des préavis cantonaux (al. 2); la municipalité peut déterminer les précautions à prendre pour assurer la sécurité, la tranquillité et l’ordre public et elle peut déterminer aussi le lieu et l’itinéraire de la manifestation, ainsi que le début, la date et l’heure du début et de fin prévue (al. 3); si la fixation de condition ou de charges ne permet pas d’assurer le respect de l’ordre public, la municipalité peut refuser de délivrer l’autorisation, retirer l’autorisation ou interrompre la manifestation (al. 4); la municipalité peut interdire toute manifestation de nature à troubler la sécurité, la tranquillité et l’ordre public, à heurter la décence et la morale publique, à mettre en péril l’hygiène et la salubrité publique ou allant à l’encontre de tout autre intérêt public, ou  pouvant constituer une menace pour des intérêts privés prépondérants ou pouvant encore entrer conflit avec une autre manifestation déjà autorisée (al. 5). L’art. 30 réglemente le déroulement de la manifestation et le pouvoir d’intervention de la municipalité ou de la police. L’art. 31 RGP prévoit que les biens publics endommagés ou dégradés sont remis en état dans les plus brefs délais aux frais des personnes responsables des dégâts ou à défaut aux frais de l’organisateur. L’art. 32 RGP précise les obligations particulières de l’organisateur; il est en particulier tenu de laisser en tout temps le libre accès des lieux où se tient la manifestation (al. 1) et il est responsable du maintien du bon ordre de l’application du règlement général de police, des installations électriques, de la qualité de l’eau potable, des dispositions contre les risques naturels, du tri sélectif, de la collecte et de l’élimination des déchets. Il est donc indéniable qu’il existe une base légale formelle, adoptée par le législateur communal, permettant à la municipalité d’interdire la manifestation. Les conditions fixées pour autoriser la manifestation ne peuvent toutefois pas aller au-delà de ce qui est nécessaire pour assurer l’ordre public. L’art. 21 Cst. VD fixe le cadre des restrictions admissibles qui sont justifiées uniquement si l’ordre public est menacé. Les obligations mises à la charge de l’organisateur de la manifestation selon l’art. 32 RGP ne peuvent aller au-delà de cette limite. Les organisateurs de manifestations ont une certaine responsabilité propre s'agissant des mesures destinées à prévenir les risques de violences ou d'abus (ATF 132 I 256 consid. 4.4.3 p. 265). Une obligation de collaborer avec les autorités et les forces de police apparaît ainsi compatible avec la liberté de réunion et d'expression, dans la mesure où cette obligation demeure conforme au principe de la proportionnalité (arrêt 1P.53/2001 du 20 septembre 2001 consid. 3b, publié in RDAF 2003 I p. 418). Le Tribunal fédéral a ainsi admis que le législateur pouvait obliger les organisateurs de manifestations de se doter d'un « service d’ordre » dont l'ampleur doit être déterminée en fonction du risque, en prenant les mesures adéquates et en engageant les personnes formées à cet effet. Ce service d'ordre ne doit toutefois pas remplacer la police mais il s'agit d'une première étape indispensable, ne serait-ce que pour éviter qu'un défilé ne se mette en mouvement en présence de casseurs. En outre, les organisateurs doivent se tenir à disposition de la police durant toute la manifestation pour que cette dernière puisse modifier l'itinéraire ou arrêter le défilé en cas de troubles. Le service d'ordre ne doit pas se substituer à la police, mais fournir à celle-ci toutes les informations afin de faciliter son action en cas de débordement. Il s'agit également de développer un lien de confiance entre les organisateurs et la police. Le service d'ordre ne peut en aucun cas forcer les organisateurs à assurer eux-mêmes la sécurité publique. En effet, le service d'ordre est subordonné aux forces de police avec lesquelles il doit collaborer. Manifestement, ce service est destiné à faire le lien entre la police et les manifestants. Il peut ainsi devoir informer ceux-ci des conditions auxquelles l'autorisation est subordonnée, le cas échéant leur rappeler les obligations ainsi fixées, transmettre les injonctions des forces de police et, le cas échéant, renseigner cette dernière. Le maintien de l'ordre est une tâche primordiale reconnue constitutionnellement à l'Etat (art. 57 Cst.; GUERY, La privatisation de la sécurité et ses limites juridiques, SJ 2006 II p. 141 ss, 154). Il en va de même de la réglementation de l'utilisation du domaine public, de la compétence des cantons (ATF 135 I 302 consid. 3.1 p. 306). C'est donc à l'Etat qu'il incombe au premier chef de prendre les mesures appropriées, en assurant notamment une protection policière efficace pour que les manifestations publiques puissent avoir lieu, notamment sans être troublées ou empêchées par des opposants (ATF 124 I 267 consid. 3a p. 268). C'est à lui également qu'incombent le cas échéant l'adoption de mesures coercitives et l'usage de la force, pour lesquelles il dispose d'un monopole (GUERY, op. cit. p. 160). En particulier, l'adoption des mesures de contrainte prévues par le CPP (en particulier l'appréhension - art. 215 CPP -, l'arrestation - art. 217 CPP - et la mise en détention provisoire - art. 22 ss CPP -, ainsi que les mesures de fouille - art. 241 CPP - et de séquestre - art. 263 CPP) sont du ressort du Ministère public ou de la police (art. 15 ss et 306 CPP). Sur le domaine public, on ne saurait dès lors exiger du service d'ordre de l’organisateur, qu'il intervienne directement à l'encontre des fauteurs de troubles en recourant, le cas échéant, à des sociétés de sécurité privées (ATF 127 I 164 consid. 3 p. 169-170; 124 I 267 consid. 3a p. 269). Ces considérations relatives au maintien de l’ordre public s’appliquent également aux aspects concernant les installations électriques, la qualité de l’eau potable, des dispositions contre les risques naturels, le tri sélectif, la collecte et l’élimination des déchets. d) L'intérêt public à soumettre les manifestations à des autorisations est évident, notamment au regard de l'usage accru au domaine public. Par ailleurs, des motifs de police abondent en ce sens, puisque de tels rassemblements sont susceptibles de créer des situations de violence et des bagarres, ainsi que des nuisances sonores. Cette seconde condition est ainsi également réalisée (pour plus de précisions, voir Aubert/Mahon, Petit commentaire de la Constitution fédérale de la Confédération suisse du 18 avril 1999, Zurich, Bâle, Genève 2003, § 12 ss ad art. 36 Cst.). L’intérêt public aux restrictions qui peuvent être imposées comme conditions à l’octroi d’une autorisation se justifie essentiellement par des motifs relevant de l’ordre public, notion qui englobe la tranquillité, la sécurité, la santé ou la moralité publiques, ainsi que la bonne foi en affaires (ATF 125 I 322 consid. 3a p. 326 et les arrêts cités). Il reste ainsi à examiner si la décision entreprise est conforme au principe de la proportionnalité. e) Le principe de la proportionnalité exige qu'il y ait un rapport raisonnable entre le but d'intérêt public poursuivi et le moyen choisi pour l'atteindre (cf. arrêts du TAF A-3713/2008 du 15 juin 2011 consid. 9.1, non publié à l'ATAF 2012/23; A-3111/2013 du 6 janvier 2014 consid. 6.3.1). Le principe de la proportionnalité doit être respecté dans l'ensemble des activités de l'Etat, spécialement lorsque l'activité en cause consiste en une restriction à un droit constitutionnel au sens de l'art. 36 Cst. Toute restriction d’un droit fondamental doit être proportionnée au but visé (art. 36 al. 3 Cst.), ce qui implique un rapport raisonnable entre le but d'intérêt public poursuivi et le moyen choisi pour sa réalisation (arrêt TAF A-5414/2012 du 19 juin 2014 consid. 2.5.1). Ce principe se décompose en trois règles: celle de l'aptitude, celle de la nécessité, ainsi que celle de la proportion, autrement dit "la proportionnalité au sens étroit" (cf. ATF 136 I 17 consid. 4.4; 135 I 246 consid. 3.1; 130 II 425 consid. 5.2; 124 I 40 consid. 3e; Moor et al., Droit administratif, vol. I, Berne 2012, n° 5.2.1.3 p. 814 ss). Selon la règle de l'aptitude, le moyen choisi doit être propre à atteindre le but visé. Cette règle n'exige cependant pas qu'il soit nécessairement le plus efficace; il suffit qu'il contribue à atteindre, dans une mesure plus ou moins effective, un résultat appréciable (cf. ATF 128 I 310 consid. 5b/cc; Moor et al., op. cit., vol. I, n° 5.2.1.3 p. 814 s.). La règle de la nécessité exige qu'entre plusieurs moyens envisageables soit choisi celui qui, tout en atteignant le but visé, porte l'atteinte la moins grave aux droits et, dans une optique plus large, aux intérêts privés touchés (cf. ATF 130 II 425 consid. 5.2; Moor et al., op. cit., vol. I, n° 5.2.1.3 p. 818). Enfin, la proportionnalité au sens étroit met en balance la gravité des effets de la mesure choisie sur la situation de l'administré et le résultat escompté du point de vue de l'intérêt public (cf. ATF 129 I 12 consid. 6 à 9; Moor et al., op. cit., vol. I, n° 5.2.1.3 p. 819 s.). f) L’examen des conditions relatives au principe de proportionnalité nécessite une pesée des intérêts: d‘un côté, les intérêts du recourant qui ont trait à la liberté de réunion et d’opinion et de l’autre côté, les intérêts de la commune territoriale concernant le maintien de l’ordre public; enfin, les intérêts de la société C.________, qui doit protéger sa réputation et la sécurité de ses installations en tant que propriétaire de l'ouvrage, à savoir les puits de forage. aa) La municipalité soutient que la sécurité publique ne serait pas assurée car elle n’avait pas obtenu la copie de la carte d'identité des responsables de la manifestation et qu'elle ne pouvait pas se rendre compte de la dangerosité et de l'ampleur que pouvait prendre cette manifestation. Elle se préoccupe également de son impact environnemental sur la zone protégée concernée. S'agissant du recourant, il souhaite pour sa part exprimer une opinion politique et idéale concernant la protection de l'environnement: la société doit s'écarter des énergies fossiles et cesser la construction de nouveaux sites de forage. La fin de la manifestation vers le site de forage revêt ainsi une haute importance symbolique; il cherche aussi à faire connaître tous les inconvénients liés à l’exploitation du gaz de schiste. bb) Pour la protection de l'environnement, une synthèse des autorisations et préavis des services cantonaux compétents sur la demande d'autorisation pour la manifestation "Marche pacifique contre les forages dans le canton de Vaud le 3 septembre à Noville" a été établie par la Police cantonale le 30 août 2016. La DGE (divisions Forêt et Biodiversité) a autorisé la marche sous conditions en mentionnant qu'elle était prévue dans une période propice du point de vue de la protection des oiseaux migrateurs: 1) lorsque la manifestation longe la zone OROEM, les moyens d'amplification du son (porte-voix y compris) sont interdits. Les organisateurs sont invités à veiller à la tranquillité du site et à éviter les manifestations vocales élevées; 2) les lieux seront laissés en parfait état. En particulier, aucune affiche ou banderole ne sera laissée sur place; 3) le parcours de la manifestation restera strictement sur le tracé proposé; 4) les éventuels chiens doivent rester sous le contrôle visuel de leur détenteur, et hors forêt, ils ne doivent pas être à plus de 200 mètres de leur détenteur. Enfin, la DGE a signalé le fait que les manifestations en forêt comportent des risques, en cas de fortes pluies ou de grands vents; les propriétaires et services forestiers se dégageaient de toute responsabilité en cas d'accidents liés à des chutes de branches ou d'arbres (synthèse pt 1). cc) S'agissant des aspects sécuritaires, le Bureau des manifestations de la Police cantonale a également préavisé positivement sous réserve de conditions particulières: la manifestation se déroulera sous l'entière responsabilité des organisateurs qui prendront toutes les mesures pour assurer la sécurité de chacun. Des signaux "Autres dangers" (OSR 1.30) avec la plaque complémentaire "Manifestation" seront disposés par les organisateurs sur chaque pénétrante de la localité. Des indicateurs de direction pour manifestation OSR 4.46 (fond orange, texte noir), dimensions 130 x 35 cm, seront placés aux endroits appropriés pour signaler les parcs. Par ailleurs, les organisateurs devront placer "aux endroits critiques", des plantons équipés, formés et aptes à gérer la mission confiée, conformément à l'art. 55 du Code des obligations. Les participants sont soumis au respect des règles de la circulation ou de la navigation; leur nombre doit être limité au minimum indispensable au bon déroulement de la manifestation. Les organisateurs doivent être au bénéfice d'une autorisation de l'ensemble des communes concernées. L'organisateur sera attentif aux conditions météorologiques et, si nécessaire, prendra les mesures adéquates. Les organisateurs doivent effectuer une reconnaissance du ou des parcours avant la manifestation. L'usage des haut-parleurs ou d'autres procédés de réclames sonores est soumis à l'autorisation de la ou des communes concernées. Les émissions devront être brèves et respecter le repos public. Les inscriptions sur la chaussée sont interdites. Les organisateurs sont responsables des mesures sanitaires. Une nouvelle autorisation est nécessaire en cas de renvoi de la manifestation. Une assurance responsabilité civile valable couvrira toutes les activités de la manifestation. (synthèse, pt 2.3). Tant sous l'angle de la protection de l'environnement que de la sécurité publique, une mesure moins restrictive que l’interdiction était possible, permettant de surcroît de satisfaire les besoins de la Municipalité de Noville, qui peut soumettre la délivrance de l'autorisation à la transmission des documents d'identité souhaités. Au demeurant, la manifestation prévue le 3 septembre 2016 a été autorisée par la Commune de Villeneuve et les manifestants se sont réunis sur le Quai Grand Rue à Villeneuve. Les articles de presse concernant la manifestation et les photographies montrent une manifestation pacifique avec des familles et des enfants, portant des banderoles. Alors même que le parcours sur Noville était interdit et que la manifestation n’a pas pu se dérouler comme prévu, les manifestants se sont dispersés dans le calme après avoir entendu quelques intervenants (http://www.tdg.ch/suisse/manifestation-gaz-schiste-avortee/story/27601191). Il n’y a eu aucun danger relevant de la sécurité publique. Il n’y a pas eu de menaces à l’ordre public. En l’état, il n’est donc pas démontré que la manifestation en cause présenterait une menace pour l’ordre public. dd) Enfin, s'agissant de la société concernée C.________, son intérêt à pouvoir continuer l’activité par une phase d’exploitation des forages n’apparaît pas plus important ni menacé par l’intérêt public relatif à l’exercice de la liberté d’opinion et de réunion, tendant à ce que les manifestants puissent exprimer leur opposition au mode d’exploitation envisagé pour les forages déjà réalisés. Il découle de ce qui précède que le refus opposé par la Municipalité de Noville n’est pas conforme au principe de proportionnalité et qu'une mesure moins restrictive qu'une interdiction permettait de sauvegarder tant les intérêts propres à la collectivité publique que ceux de la société C.________ dans le respect des garanties constitutionnelles relatives à la liberté de réunion et d’opinion. Une autorisation assortie de conditions aurait satisfait à ce principe.</w:t>
      </w:r>
    </w:p>
    <w:p>
      <w:r>
        <w:rPr>
          <w:b/>
        </w:rPr>
        <w:t>E. 8</w:t>
      </w:r>
    </w:p>
    <w:p>
      <w:r>
        <w:t>La municipalité de Noville a soulevé des griefs de forme ayant trait d’une part, au fait que la demande ne lui a pas été adressée en temps utile, de sorte qu’elle n’a pas disposé du temps nécessaire pour statuer en pleine connaissance de cause et d’autre part, qu’elle n’a pas eu la possibilité de demander les papiers d’identités des responsables des différents « groupuscules » participant à la manifestation. a) A cet égard, le tribunal constate que le nouveau règlement général de police de Noville impose le respect d’un  délai de 30 jours pour annoncer la manifestation (art. 29 al. 2 RGP). La municipalité a transmis au tribunal la copie d’un message e-mail qu’elle a adressé au recourant B.________ le 22 août 2016. Elle précise dans ce message qu’elle n’a pas été informée formellement de la demande d’autorisation en raison du fait que le formulaire POCAMA n’avait mentionné que la Commune de Villeneuve comme autorité concernée. La municipalité relève aussi qu’à deux reprises, la Municipalité de Villeneuve avait écrit à l’organisateur pour lui demander de prendre contact avec le Syndic de la Commune de Noville, ce qui avait été fait seulement le 22 août 2016 alors que le formulaire de demande POCAMA avait été déposé le 27 juin 2016. b) Le tribunal constate à cet égard que la procédure POCAMA ne règle pas clairement la coordination entre le requérant, les différents services concernés de l’administration cantonale et les autorités communales concernées par le parcours de la manifestation envisagée. Il se pose ainsi la question de savoir si le requérant qui dépose le formulaire POCAMA doit tout de même adresser une demande spécifique et séparée directement aux communes concernées, ou si la procédure POCAMA prend en charge le dépôt de la demande  auprès des communes touchées par le parcours de la manifestation, ou encore si une seule commune serait responsable de coordonner la demande avec les autres communes concernées. Le site internet de l’Etat de Vaud indique la procédure à suivre pour une demande de manifestation et insiste sur le fait que « toutes les manifestations, rassemblements, cortèges, spectacles, conférences, soirées, expositions, évènements sportifs,  etc.  doivent être annoncés à la commune où est prévue la manifestation » en précisant que dans certains cas les autorités cantonales doivent aussi délivrer une autorisation. Le site précise aussi que « La demande doit être déposée au plus tard trois mois avant la date prévue pour la manifestation .» Par ailleurs le formulaire POCAMA permettant de remplir la demande en ligne prévoit que « La demande d'autorisation doit être faite au moins un mois avant la date à laquelle se déroulera la manifestation. Dans le cas contraire nos services feront leur possible pour traiter le dossier dans les délais mais aucune garantie ne peut vous être fournie. » En ce qui concerne les communes concernées par la manifestation, le formulaire POCAMA à remplir en ligne demande de mentionner seulement la « Localité principale de la manifestation ». On en déduit que la procédure de coordination POCAMA n’assure pas la coordination entre les différentes communes concernées par la manifestation. Mais d'un autre côté l’art. 28 al. 2 RGP de Noville prévoit que la demande d’autorisation doit être présentée : « à la municipalité, ou à l’autorité délégataire, le cas échéant par le guichet cantonal prévu à cet effet (…) ». c) En l’espèce, en déposant la demande POCAMA par l’intermédiaire du guichet cantonal le 27 juin 2016, le recourant B.________ aurait satisfait à la nouvelle exigence réglementaire même si la procédure POCAMA ne permet pas en l’état d’assurer la coordination avec la commune de Noville, puisque seule la commune de Villeneuve a été mentionnée comme « Localité principale de la manifestation ». Cela étant précisé, et en droit désirable, le site de l’Etat de Vaud pourrait inviter les requérants déposant une demande POCAMA à entreprendre directement une démarche auprès de toutes les communes concernées par la manifestation pour assurer le contact et la coordination avec les autorités locales, plus directement concernées par la manifestation; les services cantonaux devraient d'ailleurs s'efforcer de transmettre la demande à toutes les communes concernées et non seulement à la "localité principale". L’ancien règlement de police de la commune de Noville ne prévoyait pas la possibilité de déposer la demande auprès du guichet cantonal prévu à cet effet, mais il ne mentionnait pas non plus le délai de 30 jours pour le dépôt d’une telle demande. Cela étant précisé, dans le cadre d’un contrôle judiciaire lié à la reconnaissance d’un intérêt virtuel destiné à régler les demandes ultérieures, le tribunal doit constater que le recourant aurait respecté les nouvelles exigences réglementaires communales de l’art. 28 al. 2 RGP en déposant la demande dans le délai de 30 jours auprès du guichet cantonal prévu à cet effet, et que les problèmes de coordination avec les communes concernées résultant de la procédure POCAMA ne lui sont en l’état pas imputables. Le fait que la demande POCAMA ait été adressée à la Municipalité de Noville seulement le 18 août 2016 (message e-mail de la municipalité au recourant B.________ du 22 août 2016) ne peut donc être reproché au recourant qui avait fait les démarches nécessaires auprès du guichet cantonal le 27 juin 2016, soit plus de deux mois avant la date prévue pour la manifestation. d) Les mêmes remarques s’imposent quant à la possibilité de demander les pièces d’identité des organisateurs de la manifestation. La Municipalité de Noville n’a pas pu requérir ces pièces par le seul fait de la transmission tardive de la demande POCAMA.  Le tribunal relève encore à ce sujet que si des groupes organisés en association ou non et participants à la manifestation ont déjà posé des problèmes dans d’autres manifestations, ou font craindre pour d'autres motifs des débordements, il pourrait être alors raisonnable d’exiger de leur responsable la copie de leur pièce d’identité.</w:t>
      </w:r>
    </w:p>
    <w:p>
      <w:r>
        <w:rPr>
          <w:b/>
        </w:rPr>
        <w:t>E. 9</w:t>
      </w:r>
    </w:p>
    <w:p>
      <w:r>
        <w:t>Il résulte des considérants qui précèdent que le recours formé par A.________ (GE.2016.0070) doit être rejeté dans la mesure où il est recevable. Le recours formé par B.________ (GE.2016.0125) est devenu sans objet dans la mesure où il est dirigé contre la décision de la Municipalité de Villeneuve du 24 août 2016, qui a été annulée par la nouvelle décision du 2 septembre 2016 autorisant la manifestation. Il doit en revanche être admis dans le sens des considérants dans la mesure où il est dirigé contre la décision de la Municipalité de Noville du 30 août 2016, qui doit être annulée. Compte tenu de ce résultat, le tribunal considère qu’il n’y a pas lieu de percevoir de frais de justice (art. 50 LPA-VD)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