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GE.2016.0066 vom 1. September 2016</w:t>
      </w:r>
    </w:p>
    <w:p>
      <w:r>
        <w:t>VD Tribunal cantonal, 2016-09-01, FR</w:t>
      </w:r>
    </w:p>
    <w:p>
      <w:r>
        <w:rPr>
          <w:b/>
        </w:rPr>
        <w:t xml:space="preserve">Quelle: </w:t>
      </w:r>
      <w:r>
        <w:t>https://mcp.opencaselaw.ch/entscheid/vd_omni_GE.2016.0066</w:t>
      </w:r>
    </w:p>
    <w:p>
      <w:r>
        <w:t>FR: VD_OMNI GE.2016.0066 du 1 septembre 2016</w:t>
      </w:r>
    </w:p>
    <w:p>
      <w:r>
        <w:t>IT: VD_OMNI GE.2016.0066 del 1 settembre 2016</w:t>
      </w:r>
    </w:p>
    <w:p>
      <w:pPr>
        <w:pStyle w:val="Heading2"/>
      </w:pPr>
      <w:r>
        <w:t>Regeste</w:t>
      </w:r>
    </w:p>
    <w:p>
      <w:r>
        <w:t>X.________ Sàrl/Service de l'emploi Contrôle du marché du travail | Rejet du recours formé contre la décision du SDE mettant les frais de contrôle à la charge de l'entreprise contrevenante au sens de la LTN.</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décision attaquée ne porte pas sur l’infraction elle-même aux dispositions relatives à l’imposition des frontaliers à la source, mais uniquement sur les frais de contrôle mis à la charge de la recourante. Or l’argumentation de celle-ci se rapporte au fond de l’affaire, et non à la répartition de ces frais: la recourante allègue avoir agi de bonne foi (ce que le SE, au demeurant, ne conteste pas) et demande la dispense des frais, comme une mesure d’indulgence.</w:t>
      </w:r>
    </w:p>
    <w:p>
      <w:r>
        <w:rPr>
          <w:b/>
        </w:rPr>
        <w:t>E. 2</w:t>
      </w:r>
    </w:p>
    <w:p>
      <w:r>
        <w:t>a) La loi fédérale du 17 juin 2005 concernant des mesures en matière de lutte contre le travail au noir (LTN; RS 822.41) institue des mécanismes de contrôle et de répression (art. 1 LTN) et prévoit que les cantons doivent désigner, dans le cadre de leur législation, l’organe de contrôle cantonal compétent sur leur territoire (art. 4 al. 1 LTN). Dans le Canton de Vaud, c’est la loi du 5  juillet 2005 sur l’emploi (LEmp; RSV 822.11) qui a notamment pour but de mettre en œuvre les mesures de lutte contre le travail au noir (art. 1 al. 2 let. f LEmp); le SE est l’organe de contrôle cantonal compétent au sens de la LTN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S'agissant plus particulièrement du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Il résulte dans ce cadre de l'art. 7 de l’ordonnance fédérale du 6 septembre 2006 concernant des mesures en matière de lutte contre le travail au noir (OTN; RS 822.411) qu’un émolument est perçu auprès des personnes contrôlées qui n’ont pas respecté leurs obligations en matière d’annonce et d’autorisation visées à l’art. 6 LTN (al. 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(al. 2). Selon l’art. 79 LEmp, les émoluments prévus par la LTN et son ordonnance d’application sont mis à la charge des personnes physiques ou morales contrevenantes par voie de décision. Le règlement d’application de la LEmp, du</w:t>
      </w:r>
    </w:p>
    <w:p>
      <w:r>
        <w:rPr>
          <w:b/>
        </w:rPr>
        <w:t>E. 7</w:t>
      </w:r>
    </w:p>
    <w:p>
      <w:r>
        <w:t>décembre 2005 (RLEmp; RSV 822.11.1), prévoit à son art. 44 al. 2 que les personnes contrôlées n’ayant pas respecté leurs obligations en matière d’annonce et d’autorisation visées à l’art. 6 LTN s’acquittent d’un émolument d’un montant de 100 fr. par heure (sur le tout, cf. en dernier lieu l’arrêt GE.2015.0219 du 30 juin 2016). c) Selon la décision attaquée, le SE aurait consacré trois heures et trente  minutes au contrôle du 27 janvier 2016 (soit une heure de déplacement, trente minutes de contrôle sur place, une heure d’instruction (demande et examen de pièces), trente minutes de vérifications et trente minutes pour la rédaction de courriers et du rapport). Sur la base d’un tarif horaire de 100 fr., le SE a arrêté les frais de contrôle à 330 fr., arrondis à 350 fr.  Sur le vu du dossier, ce montant ne paraît certainement pas excessif. Au demeurant, la recourante ne soulève aucun argument dans ce sens. 3. Le recours doit ainsi être rejeté, et la décision attaquée confirmée. Les frais sont mis à la charge de la recourante; il n’est pas alloué de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