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GE.2016.0065 vom 26. Juli 2016</w:t>
      </w:r>
    </w:p>
    <w:p>
      <w:r>
        <w:t>VD Tribunal cantonal, 2016-07-26, FR</w:t>
      </w:r>
    </w:p>
    <w:p>
      <w:r>
        <w:rPr>
          <w:b/>
        </w:rPr>
        <w:t xml:space="preserve">Quelle: </w:t>
      </w:r>
      <w:r>
        <w:t>https://mcp.opencaselaw.ch/entscheid/vd_omni_GE.2016.0065</w:t>
      </w:r>
    </w:p>
    <w:p>
      <w:r>
        <w:t>FR: VD_OMNI GE.2016.0065 du 26 juillet 2016</w:t>
      </w:r>
    </w:p>
    <w:p>
      <w:r>
        <w:t>IT: VD_OMNI GE.2016.0065 del 26 luglio 2016</w:t>
      </w:r>
    </w:p>
    <w:p>
      <w:pPr>
        <w:pStyle w:val="Heading2"/>
      </w:pPr>
      <w:r>
        <w:t>Regeste</w:t>
      </w:r>
    </w:p>
    <w:p>
      <w:r>
        <w:t>Syndicat suisse services publics Section de Lausanne, GUEX, GARCIA, NEGRI, JAQUIERY, NICOD, TANGUY/Municipalité de Lausanne | Recours dirigé contre le refus de la Municipalité de Lausanne d'autoriser le Syndicat SSP à diffuser auprès de l'ensemble des membres du personnel communal, par l'intranet communal, une communication recommandant de refuser le projet cantonal de RIE III soumis à votation. Dans la mesure où les recourants dénoncent une violation de la "Convention sur les modalités de communication au sein de l'administration communale", le recours est irrecevable, une telle convention revêtant une nature contractuelle, échappant à la procédure de droit public prévue pour la contestation des décisions (c. 2c/aa). Il n'est toutefois pas d'emblée exclu que le refus querellé se fonde sur une disposition du règlement pour le personnel de l'administration communale et puisse ainsi constituer une décision susceptible d'un recours de droit administratif. Question laissée indécise (c. 2c/bb). La votation ayant eu lieu avant même le dépôt du recours, celui-ci était d'emblée dénué d'intérêt actuel (c. 3b). Dans la mesure où les recourants demanderaient au tribunal de constater qu'ils seraient seuls habilités, à l'exclusion de la Municipalité, à décider du contenu d'une communication à diffuser à l'ensemble du personnel communal, cette conclusion pourrait revêtir une portée de principe, mais devrait être rejetée sur le fond. Pour le surplus, les recourants n'établissent pas à satisfaction qu'une future votation, dont les tenants et aboutissants seraient identiques ou analogues à la RIE III et qui donnerait lieu à une communication syndicale similaire à l'information ici litigieuse, puisse se reproduire (c. 3c). Recours rejeté dans la mesure de sa recevabilité.</w:t>
      </w:r>
    </w:p>
    <w:p>
      <w:pPr>
        <w:pStyle w:val="Heading2"/>
      </w:pPr>
      <w:r>
        <w:t>Erwägungen</w:t>
      </w:r>
    </w:p>
    <w:p>
      <w:r>
        <w:rPr>
          <w:b/>
        </w:rPr>
        <w:t>E. 1</w:t>
      </w:r>
    </w:p>
    <w:p>
      <w:r>
        <w:t>Le recours formé par le SSP est dirigé contre un refus de la Municipalité d'autoriser le Syndicat à diffuser auprès de l'ensemble des membres du personnel communal, par le biais de l'intranet, une semaine avant la votation, une seconde "information" recommandant de refuser le projet de RIE III.</w:t>
      </w:r>
    </w:p>
    <w:p>
      <w:r>
        <w:rPr>
          <w:b/>
        </w:rPr>
        <w:t>E. 1.1</w:t>
      </w:r>
    </w:p>
    <w:p>
      <w:r>
        <w:t>et la jurisprudence citée; 136 II 101 consid. 1.1; arrêts du TF 4A_620/2015 du 1 er avril 2016 consid. 1.1; 4D_13/2016 du 8 février 2016 consid. 2 et la référence; 1C_495/2014 du 23 février 2015 consid. 1.2; voir aussi notamment les arrêts GE.2014.0093 du 8 janvier 2015 consid. 2; GE.2014.0105 du 24 septembre 2014 consid. 2 et les références citées). b) En l'espèce, la communication dont la diffusion a été refusée par la Municipalité le 14 mars 2016 visait à recommander à ses destinataires, motifs à l'appui, de refuser le projet de RIE III soumis à la votation du 20 mars 2016. En d'autres termes, l'objectif de cette communication se limitait à un sujet déterminé, circonscrit par la votation en cause. Celle-ci ayant eu lieu avant même le dépôt du recours, la présente procédure était d'emblée dénuée d'intérêt actuel. c) Il reste à examiner s'il est justifié de renoncer à l'exigence de cet intérêt. aa) Les recourants font valoir que les critères jurisprudentiels susmentionnés, permettant de faire abstraction de l'exigence d'un intérêt actuel, sont remplis. Dans leurs déterminations du 18 mai 2016, ils s'expriment en ces termes: " En refusant d'autoriser la diffusion de l'information syndicale relative à la votation du 20 mars 2016, l'intimée a créé un précédent qui laisse raisonnablement supposer que d'autres interdictions de diffusion d'informations syndicales pourront se reproduire à l'avenir. Cela pourrait être le cas toutes les fois que les recourants souhaitent diffuser une information syndicale dont le contenu déplairait à la majorité de la Municipalité, notamment si la Municipalité estime à ses yeux que celui-ci n'est pas compatible avec la Convention sur les modalités de communication au sein de l'administration communale, par exemple lorsque le ssp prendra une nouvelle fois position sur un objet de votation – dont le contenu concerne les intérêts des membres du ssp et ceux du personnel communal – ou dans toutes autres circonstances analogues. La portée de la décision attaquée concerne la réalisation d'un droit constitutionnel, la liberté syndicale, ainsi que la liberté d'opinion et d'information. La réalisation – et/ou la restriction – de ces droits fondamentaux est à l'évidence également une question de principe qui dépasse le seul intérêt pour les recourants à être autorisés à diffuser une information syndicale sur le sujet précis de la votation du 20 mars 2016. S'agissant des conditions de l'exercice de la liberté syndicale dans le cadre d'une collectivité publique, la portée de la décision attaquée représente un intérêt public suffisamment important pour obtenir de la CDAP qu'elle tranche la question litigieuse. " bb) Dans la mesure où le Syndicat entend diffuser de nouvelles recommandations dans le cadre de l'une ou l'autre votation à venir, il lui appartiendra de solliciter au plus vite l'accord de la Municipalité afin qu'un recours contre un éventuel refus puisse être tranché à temps. Cela étant, on ne peut exclure que, dans certaines circonstances - comme en l'espèce du reste -, le rythme de la succession des divers actes en cause ne permette pas qu'un arrêt soit rendu en temps utile. cc) Encore faut-il toutefois, conformément à la jurisprudence, que la contestation à la base de la décision attaquée puisse se reproduire " dans des circonstances identiques ou analogues " et que, en raison de sa portée de principe, il existe un intérêt public suffisamment important à la solution de la question litigieuse. Il convient ainsi de déterminer s'il se dégage du présent litige une question à résoudre qui remplisse ces conditions. Dans la mesure où les recourants demanderaient au tribunal de constater qu'ils seraient seuls habilités, à l'exclusion de la Municipalité, à décider du contenu d'une communication à diffuser à l'ensemble du personnel communal par les moyens d'information mis à disposition par la commune, cette conclusion pourrait revêtir une portée de principe, mais devrait être rejetée sur le fond. L'art. 55 al. 3 RPAC n'oblige la Municipalité à accorder aux associations des moyens d'information qu'à la condition que la communication à diffuser leur permette " d'atteindre leurs buts " (condition correspondant au demeurant en substance à l'art. 4 de la Convention 2008, exigeant que le contenu du message ne déborde pas " le cadre des propres activités de l'association au sein de l'administration " et qu'il ait un " lien " avec le personnel ou l'administration communale lausannoise). La Municipalité dispose ainsi de la compétence de refuser à l'association concernée l'usage des moyens d'information communaux si elle considère que cette condition n'est pas remplie. En elle-même, l'attribution d'une telle compétence à la Municipalité ne contrevient pas aux principes constitutionnels invoqués par les recourants, découlant des art. 9 (protection contre l'arbitraire et protection de la bonne foi), 16 (libertés d'opinion et d'information) et 28 (liberté syndicale) de la Constitution fédérale du 18 avril 1999 (Cst.; RS 101). Pour le surplus, les recourants se limitent, à bien les suivre, à requérir du tribunal qu'il constate que la Municipalité aurait retenu à tort que la condition du lien entre le but du Syndicat, à savoir la défense des intérêts du personnel communal, et le refus de la RIE III, n'était pas satisfaite. Pour les recourants en effet, l'information que le Syndicat entendait diffuser, recommandant de rejeter le projet de RIE III soumis à votation, respectait cette condition dès lors que la réforme engendrerait à ses yeux des conséquences négatives sur les intérêts du personnel communal qu'il lui appartenait de sauvegarder. En d'autres termes, les recourants demandent au tribunal de constater que la Municipalité a procédé à une mauvaise application de l'art. 55 al. 3 RPAC, violant les principes constitutionnels précités. Le tribunal retient toutefois qu'il s'agit d'une constellation particulière: déterminer si la communication " censurée " par l'autorité intimée l'a été à tort, nécessiterait de se pencher sur le contenu de la communication en question à la lumière des enjeux spécifiques de la RIE III. Or, les recourants n'établissent pas à satisfaction qu'une future votation, dont les tenants et aboutissants seraient identiques ou analogues à la RIE III et donnerait lieu à une communication syndicale similaire à l'information ici litigieuse, puisse se reproduire. Sous cet angle, les conditions permettant de renoncer à exiger un intérêt actuel au moment du dépôt de l'acte de recours ne sont pas réunies, de sorte qu'il n'y a pas lieu d'entrer en matière.</w:t>
      </w:r>
    </w:p>
    <w:p>
      <w:r>
        <w:rPr>
          <w:b/>
        </w:rPr>
        <w:t>E. 2</w:t>
      </w:r>
    </w:p>
    <w:p>
      <w:r>
        <w:t>Elle les associe aux projets de modifications du présent règlement et de certaines instructions administratives importantes.</w:t>
      </w:r>
    </w:p>
    <w:p>
      <w:r>
        <w:rPr>
          <w:b/>
        </w:rPr>
        <w:t>E. 3</w:t>
      </w:r>
    </w:p>
    <w:p>
      <w:r>
        <w:t>Elle leur octroie des moyens leur permettant d’atteindre leurs buts sous forme notamment de décharges et de moyens d’information et la mise à disposition de locaux pour des séances.</w:t>
      </w:r>
    </w:p>
    <w:p>
      <w:r>
        <w:rPr>
          <w:b/>
        </w:rPr>
        <w:t>E. 4</w:t>
      </w:r>
    </w:p>
    <w:p>
      <w:r>
        <w:t>Les considérants qui précèdent conduisent à rejeter le recours dans la mesure de sa recevabilité. On renoncera à mettre un émolument judiciaire à la charge des recourants au vu des circonstances et compte tenu de l'art. 4 al. 4 du tarif du 28 avril 2015 des frais judiciaires et des dépens en matière administrative (TFJDA; RSV 173.36.5.1), selon lequel la procédure en matière de contentieux communal de la fonction publique est gratuite, lorsque la valeur litigieuse ne dépasse pas 30'000 fr. Les recourants n'ont pas droit à l'allocation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