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GE.2016.0061 vom 21. Dezember 2016</w:t>
      </w:r>
    </w:p>
    <w:p>
      <w:r>
        <w:t>VD Tribunal cantonal, 2016-12-21, FR</w:t>
      </w:r>
    </w:p>
    <w:p>
      <w:r>
        <w:rPr>
          <w:b/>
        </w:rPr>
        <w:t xml:space="preserve">Quelle: </w:t>
      </w:r>
      <w:r>
        <w:t>https://mcp.opencaselaw.ch/entscheid/vd_omni_GE.2016.0061</w:t>
      </w:r>
    </w:p>
    <w:p>
      <w:r>
        <w:t>FR: VD_OMNI GE.2016.0061 du 21 décembre 2016</w:t>
      </w:r>
    </w:p>
    <w:p>
      <w:r>
        <w:t>IT: VD_OMNI GE.2016.0061 del 21 dicembre 2016</w:t>
      </w:r>
    </w:p>
    <w:p>
      <w:pPr>
        <w:pStyle w:val="Heading2"/>
      </w:pPr>
      <w:r>
        <w:t>Regeste</w:t>
      </w:r>
    </w:p>
    <w:p>
      <w:r>
        <w:t>A.________ c/ AUTORITE DE SURVEILLANCE LPP ET DES FONDATIONS DE SUISSE OCCIDENTALE, Municipalité de Baulmes | Confirmation de la nomination d'un commissaire avec lequel les membres du conseil de fondation signent collectivement à deux.</w:t>
      </w:r>
    </w:p>
    <w:p>
      <w:pPr>
        <w:pStyle w:val="Heading2"/>
      </w:pPr>
      <w:r>
        <w:t>Erwägungen</w:t>
      </w:r>
    </w:p>
    <w:p>
      <w:r>
        <w:rPr>
          <w:b/>
        </w:rPr>
        <w:t>E. 1</w:t>
      </w:r>
    </w:p>
    <w:p>
      <w:r>
        <w:t>Selon l'art. 84 al. 1 du Code civil (CC; RS 210), les fondations sont placées sous la surveillance de la corporation publique (Confédération, canton, commune) dont elles relèvent par leur but. Dans le canton de Vaud, l'art. 53 du Code de droit privé judiciaire vaudois (CDPJ; RSV 211.02), qui prévoit qu'il n'y a pas de surveillance communale (al. 2), chargeait précédemment (dans sa teneur initiale en vigueur le 1er janvier 2011) le Conseil d'Etat d'édicter les dispositions assurant la surveillance des fondations et institutions de prévoyance qui ne relèvent pas de l'autorité fédérale (art. 53 al. 1 CDPJ). Dans sa teneur en vigueur depuis le 1er août 2011, l'art. 53 al. 1 CDPJ prévoit désormais que la surveillance des fondations et des institutions de prévoyance est régie par le Concordat sur la création et l'exploitation de l'Autorité de surveillance LPP et des fondations de Suisse occidentale (C-AS-SO; RSV 831.95). Ladite Autorité de surveillance, qui est un établissement autonome de droit public doté de la personnalité juridique (art. 61 al. 3 LPP; art. 2 al. 1 C-AS-SO), est ainsi l'autorité désignée par le canton en vertu de l'art. 62 de la loi fédérale du 25 juin 1982 sur la prévoyance vieillesse, survivants et invalidité (LPP; RS 831.40). L'établissement exerce, pour les fondations de prévoyance, les attributions prévues par les art. 85 et 86 à 86b CC (art. 62 al. 2 LPP). Selon l'art. 3 al. 2 C-AS-SO, les cantons partenaires peuvent aussi attribuer à l'établissement la surveillance des fondations classiques placées sous leur surveillance au sens des art. 80 ss CC. C'est ce que fait le renvoi opéré par l'art. 53 al. 1 CDPJ. L'Autorité de surveillance LPP et des fondations de Suisse occidentale (AS-SO) est ainsi, pour le canton de Vaud, l'autorité de surveillance des fondations "classiques". Son activité est régie par le Règlement sur la surveillance LPP et des fondations établi le 11 mai 2015 (et non le 6 octobre 2014 comme l'indique la décision attaquée) par le Conseil d'administration de l'autorité de surveillance LPP et des fondations (RLPPF) disponible sur le site internet de l'autorité de surveillance (vvww.as-so.ch/bases-legales).</w:t>
      </w:r>
    </w:p>
    <w:p>
      <w:r>
        <w:rPr>
          <w:b/>
        </w:rPr>
        <w:t>E. 2</w:t>
      </w:r>
    </w:p>
    <w:p>
      <w:r>
        <w:t>Est litigieuse la question de savoir si c'est à juste titre que l'autorité intimée a désigné un commissaire afin de gérer la fondation.</w:t>
      </w:r>
    </w:p>
    <w:p>
      <w:r>
        <w:rPr>
          <w:b/>
        </w:rPr>
        <w:t>E. 3</w:t>
      </w:r>
    </w:p>
    <w:p>
      <w:r>
        <w:t>En premier lieu, la recourante fait valoir une violation de son droit d'être entendue au motif que l'autorité intimée a pris la décision en se fondant sur les seules déclarations de B.________ et sans avoir entendu les autres membres du conseil de fondation. a) Le droit d'être entendu est une garantie constitutionnelle de nature formelle ancrée à l'art. 29 al. 2 de la Constitution fédérale du 18 avril 1999 de la Confédération suisse (Cst; RS 101) ainsi qu'à l'art. 27 al. 2 de la Constitution du 14 avril 2003 du canton de Vaud (Cst.-VD; RSV 101.01; cf. aussi art. 33 al. 1 LPA-VD).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w:t>
      </w:r>
    </w:p>
    <w:p>
      <w:r>
        <w:rPr>
          <w:b/>
        </w:rPr>
        <w:t>E. 3.2</w:t>
      </w:r>
    </w:p>
    <w:p>
      <w:r>
        <w:t>p. 270; 137 IV 33 consid. 9.2 p. 48/49; 136 I 265 consid. 3.2 p. 272, et les arrêts cités). L'autorité est tenue de verser au dossier de la procédure toutes les pièces déterminantes pour celle-ci (ATF 132 V 387 consid. 3.1 p. 388/389; 124 V 372 consid. 3b p. 375/376, et les arrêts cités). Les parties ont le droit de recevoir les prises de position des autres parties, indépendamment du point de savoir si ces pièces sont déterminantes ou non, de manière à ce qu'elles puissent décider elles-mêmes d'y répliquer - ou non (ATF 137 1195 consid. 2.3.1, et les arrêts cités). Le caractère formel du droit d'être entendu a pour conséquence que sa violation entraîne en principe l'annulation de la décision attaquée, quel que soit son sort au fond (ATF 137 1195 consid. 2.2 p. 197; 136 V 117 consid. 4.2.2.2 p. 126/127; 135 I 279 consid. 2.6.1 p. 285, et les arrêts cités). Cela étant, la jurisprudence admet qu'une violation du droit d'être entendu puisse être considérée comme réparée lorsque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GE.2011.0136 du 27 novembre 2012). La réparation de la violation du droit d'être entendu doit cependant rester l'exception et n'est admissible que dans l'hypothèse d'une atteinte qui n'est pas particulièrement grave aux droits procéduraux de la partie lésée. Si par contre l'atteinte est importante, il n'est pas possible de remédier à la violation (ATF 126 I 68 consid. 2 p. 72; 126 V 130 consid. 2b; 124 V 180 consid. 4b p. 183 s. et les arrêts cités). Elle peut néanmoins se justifier en présence d'un vice grave lorsque le renvoi constituerait une vaine formalité et aboutirait à un allongement inutile de la procédure (ATF 133 I 201 consid. 2.2 p. 204; 132 V 387 consid. 5.1). Toutefois, il ne faudrait pas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Il, 3ème éd., Berne 2011, ch. 2.2.7.4 p. 324; AC.2013.0243 du 15 novembre 2013; AC.2011.0170 du 31 août 2011 consid. 2b; GE.2011.0136 précité; GE.2012.0124 du 15 novembre 2012). b) En l'espèce, il apparaît que l'autorité intimée a effectivement notifié sa décision sans avoir entendu Pierre Ravussin et E.________. On relève toutefois que cette décision est intervenue dans un contexte où ces personnes n'avaient pas répondu à la lettre que leur avait adressée l'autorité intimée le 6 janvier 2016 et qu'elles ne s'étaient pas non plus présentées à la séance du 17 février 2016 proposée par l'autorité intimée. Au demeurant, Pierre Ravussin et E.________ ont pu se déterminer dans le cadre de la présente procédure de recours. Une éventuelle violation de leur droit d'être entendu a pu ainsi être réparée, sachant que la Cour de droit administratif et public du Tribunal cantonal a plein pouvoir d'examen, en fait et en droit (art. 28 al. 1, 41, 63 et 89 LPA-VD). Il se justifie ainsi, par économie de procédure, d'entrer en matière.</w:t>
      </w:r>
    </w:p>
    <w:p>
      <w:r>
        <w:rPr>
          <w:b/>
        </w:rPr>
        <w:t>E. 4</w:t>
      </w:r>
    </w:p>
    <w:p>
      <w:r>
        <w:t>L'art. 83d al. 1 ch. 2 CC prescrit que lorsque l'organisation prévue par l'acte de fondation n'est pas suffisante, que la fondation ne possède pas tous les organes prescrits ou qu'un de ces organes n'est pas composé conformément aux prescriptions, l'autorité de surveillance prend les mesures nécessaires; elle peut notamment nommer l'organe qui fait défaut ou un commissaire. On extrait du Message relatif au projet de modification du CC soumis aux Chambres fédérales par le Conseil fédéral (Feuille fédérale 2002, vol. III, p. 3040, ad art. 83 al. 2 nouveau) ce qui suit: "La faculté de désigner un curateur à une personne morale est appelée à disparaître (art. 393, ch. 4, CC); il convient donc de compléter les règles actuelles qui régissent l'organisation de la fondation, sur le modèle de l'art. 731b P CO (nous renvoyons au commentaire de cette disposition; cf. également l'art. 69a P CC pour l'association). Il s'agit cependant de tenir compte des particularités de la fondation. A la différence des autres personnes morales, la fondation est soumise à la surveillance d'une autorité. Selon le droit en vigueur, celle-ci doit déjà pourvoir à une organisation adéquate de la fondation lorsque les indications qui figurent dans l'acte de fondation ne sont pas suffisantes (cf. art. 83, al. 2, CC). Afin d'éviter que des compétences ne se recoupent, il convient d'attribuer également à l'autorité de surveillance le pouvoir de prendre les mesures nécessaires lorsque des carences dans l'organisation se présentent ultérieurement; pour les corporations du code des obligations et pour les associations, cette compétence revient au tribunal. Le projet de révision prévoit donc de compléter l'al. 2: lorsque l'organisation prévue par l'acte de fondation n'est pas suffisante, que la fondation ne possède pas l'un des organes prescrits ou qu'un organe n'est pas composé conformément aux prescriptions, l'autorité de surveillance doit prendre les mesures nécessaires. L'autorité de surveillance agit d'office; à la différence des prescriptions relatives aux autres personnes morales, il n'est donc pas nécessaire de régler le droit de requérir ces mesures. Si les autorités du registre du commerce prennent connaissance d'une carence dans l'organisation d'une fondation, elles informent l'autorité de surveillance compétente au moyen d'une dénonciation. L'autorité de surveillance peut notamment fixer un délai à la fondation pour rétablir la situation légale, nommer l'organe qui fait défaut ou un commissaire. D'autres mesures appropriées sont également envisageables." Le texte de l'art. 83d al. 1 ch. 2 CC, de même que les travaux préparatoires cités ci-dessus, montrent que cette disposition laisse un large pouvoir d'appréciation à l'autorité de surveillance. La jurisprudence du Tribunal administratif fédéral confirme que pour accomplir la mission que lui confie l'art. 84 CC, l'autorité de surveillance dispose d'une large palette de mesures, dont le choix est laissé à sa libre appréciation, pour autant que les principes généraux régissant l'activité administrative, en particulier le principe de la proportionnalité, soient respectés (B-5309/2014 du 19 mai 2015, consid. 4.2). Ancré à l'art. 5 al. 2 Cst., le principe de la proportionnalité exige qu'une mesure restrictive soit apte à atteindre le but visé (règle de l'aptitude), que le but visé ne puisse pas être atteint par une mesure moins incisive (règle de la nécessité) et qu'il existe un rapport raisonnable entre les effets de la mesure sur la situation de la personne visée et le résultat escompté du point de vue de l'intérêt public (principe de la proportionnalité au sens étroit, impliquant une pesée des intérêts) (cf. ATF 134 I 214 consid. 5.7, ATF 133 I 110 consid. 7.1). Ainsi, le nomination d'un commissaire doit respecter le principe de la proportionnalité, comme il en allait déjà de la mise sous curatelle d'une fondation sous l'ancien droit (ATF 126 III 499, consid. 3b, qui rappelle le pouvoir d'appréciation dont disposent tant l'autorité de surveillance que l'autorité compétente pour nommer un curateur; ces deux autorités sont désormais fondues en une seule depuis l'entrée en vigueur du nouvel art. 83d CC).</w:t>
      </w:r>
    </w:p>
    <w:p>
      <w:r>
        <w:rPr>
          <w:b/>
        </w:rPr>
        <w:t>E. 5</w:t>
      </w:r>
    </w:p>
    <w:p>
      <w:r>
        <w:t>Le dossier transmis par l'autorité intimée n'est pas complet. On ne peut que deviner l'existence de certaines pièces. Par exemple, la lettre du président de la fondation du 19 juin 2015 répond probablement à une interpellation de l'autorité intimée dont aucune trace ne figure au dossier. Dans sa réponse au recours, l'autorité intimée fait état d'un inventaire qui mentionnerait une fortune de plus d'un million de francs alors que les comptes révéleraient une fortune d'environ 50 000 fr. Le dossier ne contient aucune des pièces correspondantes. Le seul inventaire chiffré fourni par Pierre Ravussin estime les collections à 5 436 000 fr. L'autorité intimée allègue aussi que la présence d'une partie des collections à Belmont (domicile du président de la fondation) et la disparition d'une partie d'entre elles dans un cambriolage n'a pas été communiquée à l'autorité de surveillance et qu'elle ne ressort ni des comptes, ni du rapport d'activité, ni du procès-verbal du conseil entérinant les comptes. Cette allégation ne peut être vérifiée puisqu'aucun de ces documents ne figure au dossier. Enfin, le dossier ne révèle rien des comptes bancaires que le commissaire est censé gérer.</w:t>
      </w:r>
    </w:p>
    <w:p>
      <w:r>
        <w:rPr>
          <w:b/>
        </w:rPr>
        <w:t>E. 6</w:t>
      </w:r>
    </w:p>
    <w:p>
      <w:r>
        <w:t>La cause peut néanmoins être jugée sur la base de l'ensemble des pièces fournies par les parties. La décision attaquée retient que le conseil de fondation ne parvient plus à gérer celle-ci en raison de désaccords trop importants entre ses membres. Le recours le conteste mais le fait est que le conseil de fondation ne semble pas en mesure de poursuivre l'établissement d'un inventaire des biens de la fondation puisque l'une de ses membres, qui envisageait de l'entreprendre et souhaitait les consulter, s'est heurtée aux réponses dilatoires du président et semble n'avoir pas été convoquée régulièrement à la dernière séance du conseil de fondation. Il est exact aussi que l'incertitude règne sur la localisation de certains biens de la fondation (transfert chez son président ou vol lors d'un cambriolage) et peut-être même sur la manière dont la fondation les a acquis (c'est son but): la convention de vente "notariée" du 20 octobre 1997 (en réalité, le notaire n'est intervenu que pour authentifier les signatures) est censée avoir pour objet "le patrimoine familial de la famille des photographes Deriaz" mais elle n'indique aucun prix (si ce n'est par référence à la valeur figurant au bilan d'une société anonyme en liquidation) et l'énumération des biens vendus est des plus vagues. Quant à la convention du 9 novembre 2000 passée entre la fondation et Armand Deriaz, qui semble en possession d'archives familiales, elle n'éclaircit en rien la question de la propriété des collections et la clause selon laquelle chacune des parties pourra emprunter des originaux à des conditions à définir de cas en cas est en réalité vide de toute portée. De l'aveu même du recours, la fondation manque de moyens pour sauvegarder et mettre en valeur le patrimoine qui lui est dévolu. Dans ces conditions, compte tenu du risque de dégradation des collections, également invoqué dans le recours, la décision de désigner un commissaire dont la mission ultime pourrait être de sauvegarder le patrimoine en d'autres mains ne constitue pas un abus du pouvoir d'appréciation de l'autorité intimée.</w:t>
      </w:r>
    </w:p>
    <w:p>
      <w:r>
        <w:rPr>
          <w:b/>
        </w:rPr>
        <w:t>E. 7</w:t>
      </w:r>
    </w:p>
    <w:p>
      <w:r>
        <w:t>Concluant à l'annulation de la nomination du commissaire, la fondation recourante demande que les membres du conseil aient chacun signature collective à deux avec le président. Elle fait valoir qu'accorder à B.________ Dériaz et au commissaire la signature à deux leur permettant de faire ce qui leur plaît et sans écouter l'autre partie est un véritable putsch digne d'une république bananière. La recourante perd de vue qu'en instaurant pour les membres du conseil le régime de la signature à deux avec le commissaire, la décision attaquée place tous les membres du conseil sur pied d'égalité. Ainsi, chacun des membres (et pas seulement B.________ Dériaz) est susceptible d'agir au nom de la fondation avec le concours du commissaire. Compte tenu du désaccord qui règne entre les membres du conseil, il n'est pas concevable que deux d'entre eux puissent agir ensemble car cela leur permettrait de "contourner" le commissaire.</w:t>
      </w:r>
    </w:p>
    <w:p>
      <w:r>
        <w:rPr>
          <w:b/>
        </w:rPr>
        <w:t>E. 8</w:t>
      </w:r>
    </w:p>
    <w:p>
      <w:r>
        <w:t>Il y a donc lieu de confirmer la décision attaquée, également pour ce qui concerne le régime de signature qu'elle instaure.Les considérants qui précèdent conduisent au rejet du recours aux frais de la recourante (art. 49 LPA-VD)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