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GE.2016.0050 vom 12. Juli 2016</w:t>
      </w:r>
    </w:p>
    <w:p>
      <w:r>
        <w:t>VD Tribunal cantonal, 2016-07-12, FR</w:t>
      </w:r>
    </w:p>
    <w:p>
      <w:r>
        <w:rPr>
          <w:b/>
        </w:rPr>
        <w:t xml:space="preserve">Quelle: </w:t>
      </w:r>
      <w:r>
        <w:t>https://mcp.opencaselaw.ch/entscheid/vd_omni_GE.2016.0050</w:t>
      </w:r>
    </w:p>
    <w:p>
      <w:r>
        <w:t>FR: VD_OMNI GE.2016.0050 du 12 juillet 2016</w:t>
      </w:r>
    </w:p>
    <w:p>
      <w:r>
        <w:t>IT: VD_OMNI GE.2016.0050 del 12 luglio 2016</w:t>
      </w:r>
    </w:p>
    <w:p>
      <w:pPr>
        <w:pStyle w:val="Heading2"/>
      </w:pPr>
      <w:r>
        <w:t>Regeste</w:t>
      </w:r>
    </w:p>
    <w:p>
      <w:r>
        <w:t>A.X.________/Département de la formation, de la jeunesse et de la culture | Recours contre un refus de dérogation devant permettre à la fille des recourants (qui a bientôt 13 ans) de fréquenter un établissement scolaire à proximité du lieu des activités lucratives de ses parents. Refus motivé par le fait que la fille des recourants a atteint un âge auquel il est envisageable, voire souhaitable, qu'elle acquière une certaine autonomie. Son âge lui permet ainsi de se rendre seule au lieu de son établissement scolaire et de rentrer seule chez elle. S'agissant des angoisses dont la fille des recourants serait la proie, elle n'apparaissent pas particulièrement importantes dès lors qu'elles n'ont nécessité à ce jour ni un suivi médical, ni un quelconque traitement. Les troubles ressentis par la fille des recourants semblent en ce sens bien plus liés à la perspective d'un changement d'école. Au final, l'intérêt public à scolariser la fille des recourants dans l'arrondissement scolaire du domicile de ses parents l'emporte sur les motifs privés invoqués par ceux-ci. Confirmation de la décision attaquée.</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 Dérogations à l’aire de recrutement à la demande des parents "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(pour ne citer que des arrêts récents : GE.2013.0205 du 24 mars 2014, consid. 2b; GE.2012.0083 du 26 juillet 2012 consid. 1a; GE.2012.0095 du 20 juillet 2012 consid. 2a). c) La jurisprudence récente (v. p. ex. GE.2014.0057 du 22 juillet 2014 consid. 2c)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du 5 juillet 2012 consid. 2d). Le pourvoir d’examen du tribunal est cependant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a omis de tenir compte d’intérêts importants ou si elle les a appréciés de manière erronée (voir notamment l’arrêt RE.2002.0001 du 26 mars 2002 consid. 1c). d) Dans la cause GE.2014.0057 du 22 juillet 2014 précitée,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(consid. 2 dd). L'arrêt rappelle la casuistique suivante, tirée de la jurisprudence de la cour de céans (consid. 2 cc) :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f. Dans l'affaire GE.2015.0110 du 14 août 2015, le tribunal s'est posé la question de savoir si la limitation des possibilités de dérogation pour des motifs de garde liés à la présence des grands-parents à proximité de l’établissement scolaire jusqu’à l’âge de 12 ans était admissible. En effet, la maturité d’un enfant à l’âge de 12 ans dépendait de nombreux facteurs et cet âge crucial correspondait au seuil critique de la préadolescence où le besoin de stabilité pouvait être encore plus important. Il s'agissait toutefois d'une question d’appréciation que le tribunal ne revoyait pas si l’autorité avait pris en compte tous les intérêts pertinents pour statuer sur l’octroi de la dérogation, ce qui avait été le cas en l'occurrence. 2. En l'espèce, si l'octroi des dérogations qui ont permis à la fille des recourants de fréquenter un établissement scolaire à proximité du lieu des activités lucratives de ses parents paraissait justifié durant les premières années scolaires, force est aujourd'hui de constater que cette prise en charge ne permet plus de légitimer une nouvelle dérogation. En effet, la fille des recourants a atteint un âge auquel il est envisageable, voire souhaitable, qu'elle acquière une certaine autonomie. Son âge lui permet ainsi de se rendre seule au lieu de son établissement scolaire et de rentrer seule chez elle. A cet âge, elle pourrait d'ailleurs sans doute aussi prendre seule les transports publics lui permettant de rejoindre ses parents à Montreux, le trajet en train durant 10 minutes sans changement nécessaire. A titre exemplatif, on relève que le site internet de l'établissement primaire et secondaire de Montreux-Est indique que plusieurs élèves utilisent les transports publics pour se rendre à l'école (VMCV ou MOB). A cela s'ajoute que, selon les informations au dossier, les recourants exercent une activité indépendante. Il pourrait ainsi sans doute être envisageable qu'ils s'organisent pour aller chercher leur fille à la sortie de l'école. Sans doute, avec l’enclassement de leur fille à Montreux, les recourants feraient l’économie de trajets supplémentaires. Il reste qu'il s'agit de motifs de pure convenance personnelle, à l’évidence insuffisants pour qu’une dérogation soit octroyée en l’occurrence. Il ressort en outre de la mesure d'instruction diligentée par le juge instructeur qu'il existe à 1******** un restaurant scolaire ainsi qu'une étude surveillée entre 12h15 et 13h (soit entre la fin du repas et la reprise des cours), sauf le mercredi. La fille des recourants ne serait ainsi pas laissée à elle-même durant la pause de midi. S'agissant des angoisses dont serait la proie la fille des recourants, elle n'apparaissent pas à ce point importantes qu'elles nécessitent un suivi psychologique. En effet, l'attestation du psychologue scolaire signale uniquement qu'C. a été vue en 2009 pour réfléchir à son parcours scolaire et qu'elle se montre aujourd'hui très affectée par la perspective de devoir changer d'établissement. Il ne ressort nullement de cette attestation, pas plus que de celle de la pédiatre, que l'état émotionnel d'C. nécessitait à l'époque un suivi, ni qu'un quelconque traitement ait été par la suite envisagé ou qu'un médecin ait été consulté en rapport avec des troubles psychologiques (cf. dans ce sens GE.2013.0142 du 22 août 2013, concernant une jeune fille de 13 ans dont la mère avait produit un certificat médical du pédiatre qui attestait un état psychologique fragile, certificat médical non déterminant dès lors qu'il ne ressortait pas du dossier que l'" état psychologique fragile " de la jeune fille, attesté par son pédiatre, fût suivi ou traité spécialement). Or on peine à croire qu'C. ait pu souffrir pendant des années de troubles psychologiques extrêmement perturbants selon les déclarations de ses parents sans qu'aucun suivi médical ne soit pas mis en place. Les troubles ressentis par la fille des recourants semblent en ce sens bien plus liés à la perspective d'un changement d'école, impliquant un nouvel effort d'intégration et le changement de camarades. Les circonstances du cas d'espèce n'apparaissent en rien comparables à celles qui ont donné lieu au prononcé de l'arrêt GE.2011.0078, précité. L'effort d'adaptation dont la fille des recourants devra faire preuve est ainsi tout à fait comparable à la situation rencontrée par tout enfant qui est contraint de changer d'établissement scolaire à la suite d'un déménagement, sans que les particularités du cas d'espèce ne justifient le maintien de la jeune fille dans son actuel établissement scolaire pour qu'elle y termine sa scolarité obligatoire. Il faut encore relever que, même si elle était enclassée à Montreux, C. devrait l'année prochaine faire un important effort d'intégration puisque, arrivée au terme d'un cycle, l'orientation en 9 ème H induit nécessairement un changement de classe et d'enseignants. Finalement, les recourants évoquent leur volonté de déménager à Montreux. Cet argument ne peut être retenu; en effet, à ce stade, rien n'indique qu'ils déménageront dans un proche avenir. On relèvera à cet effet que, en 2014 déjà, les recourants avaient communiqué leur intention de déménager dans la commune de Montreux, ce qu'ils n'ont pour l'heure pas encore entrepris. En conclusion, l'intérêt public à scolariser la fille des recourants dans l'arrondissement scolaire du domicile de ses parents l'emporte sur les motifs privés invoqués par ceux-ci. La décision attaquée, qui ne viole pas la loi ni ne procède d'un abus du pouvoir d'appréciation de l'autorité intimée, doit par conséquent être confirmée. 3. Il résulte des considérants qui précèdent que le recours doit être rejeté et la décision attaquée maintenue. Compte de l’issue du recours, un émolument de justice arrêté à 600 fr. doit être mis à la charge des recourants solidairement entre eux.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