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GE.2016.0037 vom 22. August 2016</w:t>
      </w:r>
    </w:p>
    <w:p>
      <w:r>
        <w:t>VD Tribunal cantonal, 2016-08-22, FR</w:t>
      </w:r>
    </w:p>
    <w:p>
      <w:r>
        <w:rPr>
          <w:b/>
        </w:rPr>
        <w:t xml:space="preserve">Quelle: </w:t>
      </w:r>
      <w:r>
        <w:t>https://mcp.opencaselaw.ch/entscheid/vd_omni_GE.2016.0037</w:t>
      </w:r>
    </w:p>
    <w:p>
      <w:r>
        <w:t>FR: VD_OMNI GE.2016.0037 du 22 août 2016</w:t>
      </w:r>
    </w:p>
    <w:p>
      <w:r>
        <w:t>IT: VD_OMNI GE.2016.0037 del 22 agosto 2016</w:t>
      </w:r>
    </w:p>
    <w:p>
      <w:pPr>
        <w:pStyle w:val="Heading2"/>
      </w:pPr>
      <w:r>
        <w:t>Regeste</w:t>
      </w:r>
    </w:p>
    <w:p>
      <w:r>
        <w:t>X________ SARL/Service de l'emploi Contrôle du marché du travail, Service de la population (SPOP) | Deux ressortissants étrangers, dépourvus d'autorisation de séjour et de travail en Suisse, ont été surpris sur un chantier alors qu'ils travaillaient au service de la recourante. La décision sommant la recourante de respecter ses obligations en matière d’engagement de personnel étranger est entrée en force, le recours dirigé contre celle-ci ayant été déclaré irrecevable. Dès lors qu'une infraction à la LTN a été reprochée à la recourante, indépendamment de la gravité de celle-ci, les frais de contrôle doivent être mis entièrement à sa charge.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interjeté contre la sommation invitant la recourante, en sa qualité d’employeur, à respecter ses obligations en matière d’engagement de main d’œuvre étrangère, ayant été déclaré irrecevable, la cause a exclusivement trait dans le cas d’espèce à la condamnation de la recourante aux frais du contrôle effectué le 21 octobre 2015.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w:t>
      </w:r>
    </w:p>
    <w:p>
      <w:r>
        <w:rPr>
          <w:b/>
        </w:rPr>
        <w:t>E. 6</w:t>
      </w:r>
    </w:p>
    <w:p>
      <w:r>
        <w:t>de l’ordonnance du 6 octobre 1986 limitant le nombre des étrangers (OLE), en vigueur jusqu'au 31 décembre 2007, a été reprise sans modification à l'art. 11 al. 2 LEtr. L'art. 91 LEtr institue un devoir de diligence incombant à l'employeur et au destinataire de services dans la mesure suivante: "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de l’employeur (arrêts du Tribunal fédéral 2C_783/2012 du</w:t>
      </w:r>
    </w:p>
    <w:p>
      <w:r>
        <w:rPr>
          <w:b/>
        </w:rPr>
        <w:t>E. 10</w:t>
      </w:r>
    </w:p>
    <w:p>
      <w:r>
        <w:t>octobre 2012 consid. 2.1; 2C_357/2009 du 16 novembre 2009 consid 5.3). b)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paiement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Dans un arrêt du 12 février 2016 rendu au terme d'une coordination selon l'art. 34 du règlement organique du Tribunal cantonal, du 13 novembre 2007 (ROTC; RSV 173.31.1), la Cour de céans a retenu qu'il suffit que l'on puisse reprocher à l'entreprise concernée une infraction, indépendamment de la gravité de celle-ci, pour que les frais de contrôle puissent être mis entièrement à sa charge (affaire GE.2015.0095 consid. 2). 3. En l’occurrence, la recourante met en avant plusieurs éléments pour s’opposer à la décision attaquée. a) Tout d’abord, la recourante reconnaît qu’D. E________, ressortissant arménien au bénéfice d’une autorisation de séjour pour requérant d’asile, mais sans avoir le droit de travailler en Suisse, effectuait des travaux d’isolation sur le chantier de l’immeuble d’3******** lorsque celui-ci a été contrôlé. B. Y________ a admis dans un premier temps que ce dernier était l’employé de la recourante depuis une semaine et rémunéré à hauteur de 24 fr. de l’heure. Par la suite, la recourante a nié ce qui précède, expliquant qu’il était au service de H________ Sàrl et que cette entreprise avait en quelque sorte prêté son employé en compensation des heures qu’elle-même avait faites. A l’appui de son allégation, la recourante a en outre produit un contrat de mission conclu le 19 octobre 2015 entre J________ SA, à 5********, qui serait l’employeuse d’D. E________, et H________ Sàrl, qui louerait les services de ce dernier. Ce contrat n’est cependant d’aucun intérêt puisqu’il a trait à une mission à effectuer à 6********/VS, alors qu’D. E________a été surpris sur un chantier situé à 3********. Du reste, l’intéressé a lui-même admis, lors de son interpellation, qu’il travaillait sur ce chantier depuis plus d’un mois, comme aide plâtrier-peintre pour le compte de la recourante. Il a ajouté avoir déjà travaillé pour la recourante par le passé et n’a fait allusion à aucune autre entreprise. Les explications de la recourante ne peuvent par conséquent être retenues. b) Il en est de même des explications fournies en second lieu au sujet de F. G________, ressortissant serbe dépourvu d’autorisation de séjour et de travail en Suisse. Dans un premier temps, B. Y________ a expliqué aux enquêteurs qu’il s’agissait de son cousin – aucune confusion n’est donc possible – et a reconnu qu’il travaillait depuis deux semaines pour l’entreprise pour un salaire de 200 fr. par jour. La recourante a par la suite expliqué que F. G________ n’avait en fait jamais été son employé, mais qu’il s’était borné à conduire D. E________sur le chantier, le jour où le contrôle a été effectué. Pour justifier cette allégation, la recourante a expliqué que B. Y________ avait, lors de son téléphone avec les enquêteurs, confondu l’intéressé avec un autre employé, F. G________, qui devait effectivement débuter ce jour-là son activité sur le chantier d'3********, mais avait été retenu par des maux de dos. Dans la mesure où B. Y________ a bien précisé aux enquêteurs que F. G________ était son cousin, cette confusion apparaît des plus douteuses. c) Quoi qu’il en soit, force est de constater que la décision du 16 décembre 2015 sommant la recourante de respecter ses obligations en matière d’engagement de personnel étranger est entrée en force, le recours dirigé contre celle-ci ayant été déclaré irrecevable. Par conséquent, la sanction étant définitive, on doit tenir pour acquis que la recourante a manqué à ses obligations en matière d’annonce et d’autorisation visées à I'art. 6 LTN. Or, comme indiqué ci-dessus (consid. 2c), il suffit que l'on puisse reprocher à l'entreprise concernée une infraction, indépendamment de la gravité de celle-ci, pour que les frais de contrôle puissent être mis entièrement à sa charge. En l'espèce, les frais occasionnés par le contrôle du 21 octobre 2015 ne peuvent donc qu’être mis à la charge de la recourante. Pour le surplus, la recourante ne conteste ni le décompte d'heures ni le tarif appliqué, la mise à sa charge des frais étant contesté seulement dans son principe. Ainsi, la seconde décision du 16 décembre 2015, intitulée "Décision de facturation des frais de contrôle" , doit être confirmée. 4. Les considérants qui précèdent conduisent au rejet du recours et à la confirmation de la décision attaquée. La recourante, qui succombe, supportera les frais de justice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