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GE.2016.0016 vom 8. August 2016</w:t>
      </w:r>
    </w:p>
    <w:p>
      <w:r>
        <w:t>VD Tribunal cantonal, 2016-08-08, FR</w:t>
      </w:r>
    </w:p>
    <w:p>
      <w:r>
        <w:rPr>
          <w:b/>
        </w:rPr>
        <w:t xml:space="preserve">Quelle: </w:t>
      </w:r>
      <w:r>
        <w:t>https://mcp.opencaselaw.ch/entscheid/vd_omni_GE.2016.0016</w:t>
      </w:r>
    </w:p>
    <w:p>
      <w:r>
        <w:t>FR: VD_OMNI GE.2016.0016 du 8 août 2016</w:t>
      </w:r>
    </w:p>
    <w:p>
      <w:r>
        <w:t>IT: VD_OMNI GE.2016.0016 del 8 agosto 2016</w:t>
      </w:r>
    </w:p>
    <w:p>
      <w:pPr>
        <w:pStyle w:val="Heading2"/>
      </w:pPr>
      <w:r>
        <w:t>Regeste</w:t>
      </w:r>
    </w:p>
    <w:p>
      <w:r>
        <w:t>A. X.________/POLICE CANTONALE | L'autorité intimée a refusé de délivrer au recourant un permis d'acquisition d'armes. Bien que le recourant ne souffre a priori d'aucune pathologie, il a démontré avoir un caractère violent et agressif au moins à deux reprises lors d'altercations sur la voie publique avec des connaissances. Ne parvenant ainsi pas toujours à gérer ses émotions et perdant parfois le contrôle de soi, il y a lieu de craindre qu'il utilise une arme d'une manière dangereuse pour lui-même ou pour autrui. Vu les antécédents de violence, l'autorité intimée n'avait pas à mettre en œuvre une expertise psychiatrique sur la santé mentale du recourant pour refuser de lui délivrer le permis sollicité. Le recours est rejeté.</w:t>
      </w:r>
    </w:p>
    <w:p>
      <w:pPr>
        <w:pStyle w:val="Heading2"/>
      </w:pPr>
      <w:r>
        <w:t>Erwägungen</w:t>
      </w:r>
    </w:p>
    <w:p>
      <w:r>
        <w:rPr>
          <w:b/>
        </w:rPr>
        <w:t>E. 1</w:t>
      </w:r>
    </w:p>
    <w:p>
      <w:r>
        <w:t>Toute personne qui acquiert une arme ou un élément essentiel d'arme doit être titulaire d'un permis d'acquisition d'armes. 1bis Toute personne qui demande un permis d'acquisition pour une arme à feu dans un but autre que le sport, la chasse ou une collection doit motiver sa demande.</w:t>
      </w:r>
    </w:p>
    <w:p>
      <w:r>
        <w:rPr>
          <w:b/>
        </w:rPr>
        <w:t>E. 2</w:t>
      </w:r>
    </w:p>
    <w:p>
      <w:r>
        <w:t>a) En l'occurrence, il est patent qu'en 2014, le recourant a été impliqué dans deux altercations successives. Le 25 juin 2014, la police a dû intervenir sur la voie publique à la suite d'une violente dispute (voies de fait) entre le recourant et un tiers à propos d'un désaccord concernant la vente d'un véhicule. Aucune plainte pénale n'a été déposée. Puis, le 2 septembre 2014, une violente querelle a éclaté entre le recourant et son ancien employé à propos du licenciement de celui-ci. Le 13 octobre 2014, une plainte pénale a été déposée par un ancien employé à l'encontre du recourant pour lésions corporelles simples, voies de fait, dommages à la propriété, injures et menaces. Le recourant a déclaré à la police cantonale s'être énervé contre le plaignant, son ancien employé qu'il avait licencié, et avoir "gueulé". Il a ajouté que le plaignant s'étant emparé d'un marteau, il avait riposté en prenant un balai et s'était dirigé à sa rencontre dans l'intention de le taper, mais avoir néanmoins renoncé à son projet; le plaignant, très apeuré, était tombé à deux reprises avant de monter dans une camionnette et de démarrer dangereusement. Il a ensuite reconnu avoir insulté le plaignant, le traitant de "con, connard, de merde et de vaurien". Il a par contre réfuté "avoir touché" le plaignant ou l'avoir menacé de mort. S'agissant des blessures que le plaignant avaient subies, le recourant a affirmé n'avoir rien vu, avoir été "dans un état second" et que cela s'était "passé vite". Il ressort du rapport d'investigation de la police du 30 décembre 2014 que les faits concernant les lésions corporelles, les menaces de mort et les dommages à la propriété n'avaient pas pu être établis. La procédure pénale dirigée contre l'intéressé a été classée par ordonnance du Ministère public de l'arrondissement de Lausanne du 9 juin 2015 suite au retrait de la plainte convenu par convention entre le prévenu et le plaignant les 21 et 27 mai 2015. Certes, il n'est pas établi que le recourant soit alcoolique ou suicidaire ou encore qu'il souffre de troubles psychiques graves. Il n'est pas contesté que les circonstances de fait diffèrent de celles qui ont fait l'objet des arrêts GE.2012.0028 et GE.2010.0226 (cités plus haut, consid. 1b supra ). Il n'en reste pas moins que le recourant a des antécédents de violence. L'intéressé admet que les actes qu'il a commis au cours des deux altercations étaient répréhensibles. Tout en minimisant la gravité des faits qui lui sont reprochés, le recourant reconnaît qu'il a un caractère "agressif" et "menaçant" (recours, p. 5). Il ressort en outre de ses déclarations à la police qu'il se trouvait dans un "état second" lors de sa dispute avec l'employé qu'il avait licencié. On peut donc légitimement en déduire que le recourant ne parvient pas toujours à gérer ses émotions et qu'il lui arrive de perdre le contrôle de soi; il n'a pas réussi, du moins à deux reprises en 2014, à régler ses différends avec des tiers de manière non violente. Le fait que le recourant soit père de famille et à la tête de sa propre société de rénovation de bâtiments n'est pas déterminant; ces éléments ne l'ont en tout cas pas empêché de se livrer à des actes de violence sur la voie publique. Vu l'ensemble de ces circonstances, et en particulier le caractère parfois agressif et menaçant du recourant, il existe des motifs concrets et suffisants laissant craindre que le recourant utilise une arme d'une manière dangereuse pour lui-même ou pour autrui. Sur la base des seuls éléments figurant au dossier, l'autorité intimée pouvait donc refuser de délivrer au recourant un permis d'acquisition d'armes, sans avoir à mettre en œuvre une expertise psychiatrique sur la santé mentale de l'intéressé. b) Le recourant laisse encore entendre que l'art. 8 al. 2 LArm serait contraire à la liberté personnelle ancrée à l'art. 10 al. 2 Cst. Mais son argumentation est vaine, dès lors que les autorités sont tenues d'appliquer les lois fédérales (art. 191 Cst). Quoi qu'il en soit, l'intérêt à protéger le public contre un risque d'utilisation dangereuse d'une arme l'emporte ici largement sur l'intérêt privé du recourant à acquérir une arme. Du point de vue de la proportionnalité, il sied de relever que, contrairement à ce que prétend le recourant, la loi sur les armes ne prévoit pas la délivrance d'un permis d'acquisition d'armes assortie d'une charge, à la différence de ce qui est prévu pour le port d'armes (cf. art. 27 LArm). Il en découle que l'autorité ne pouvait pas assortir la délivrance du permis d'acquisition d'armes de conditions particulières (telle le dépôt de l'arme auprès d'un stand de tir reconnu). c) En résumé, l'autorité intimée n'a pas commis un abus ni un excès de son large pouvoir d'appréciation en refusant de délivrer un permis d'acquisition d'armes au recourant sur la base de l'art. 8 al. 2 let. c LArm.</w:t>
      </w:r>
    </w:p>
    <w:p>
      <w:r>
        <w:rPr>
          <w:b/>
        </w:rPr>
        <w:t>E. 3</w:t>
      </w:r>
    </w:p>
    <w:p>
      <w:r>
        <w:t>Vu ce qui précède, le recours doit être rejeté et la décision entreprise confirmée. Succombant, le recourant supportera un émolument  judiciaire; il n'a pas droit à des dépens (art. 49, 55, 91 et 99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