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GE.2015.0192 vom 13. November 2015</w:t>
      </w:r>
    </w:p>
    <w:p>
      <w:r>
        <w:t>VD Tribunal cantonal, 2015-11-13, FR</w:t>
      </w:r>
    </w:p>
    <w:p>
      <w:r>
        <w:rPr>
          <w:b/>
        </w:rPr>
        <w:t xml:space="preserve">Quelle: </w:t>
      </w:r>
      <w:r>
        <w:t>https://mcp.opencaselaw.ch/entscheid/vd_omni_GE.2015.0192</w:t>
      </w:r>
    </w:p>
    <w:p>
      <w:r>
        <w:t>FR: VD_OMNI GE.2015.0192 du 13 novembre 2015</w:t>
      </w:r>
    </w:p>
    <w:p>
      <w:r>
        <w:t>IT: VD_OMNI GE.2015.0192 del 13 novembre 2015</w:t>
      </w:r>
    </w:p>
    <w:p>
      <w:pPr>
        <w:pStyle w:val="Heading2"/>
      </w:pPr>
      <w:r>
        <w:t>Regeste</w:t>
      </w:r>
    </w:p>
    <w:p>
      <w:r>
        <w:t>A. B.________, C. B.________/Service de la promotion économique et du commerce (SPECo) | Paiement tardif de l'avance de frais. La demande de restitution du délai doit être rejetée, le recourant ayant pour seule explication déclaré relever sa boîte aux lettres une seule fois par mois. Recours déclaré irrecevable.</w:t>
      </w:r>
    </w:p>
    <w:p>
      <w:pPr>
        <w:pStyle w:val="Heading2"/>
      </w:pPr>
      <w:r>
        <w:t>Erwägungen</w:t>
      </w:r>
    </w:p>
    <w:p>
      <w:r>
        <w:rPr>
          <w:b/>
        </w:rPr>
        <w:t>E. 1</w:t>
      </w:r>
    </w:p>
    <w:p>
      <w:r>
        <w:t>a) Aux termes de l'art. 47 de la loi du 28 octobre 2008 sur la procédure administrative (LPA-VD; RSV 173.36), le recourant est en principe tenu de fournir une avance de frais, à moins que l'autorité n'y renonce lorsque des circonstances particulières l'exigent (al. 1); l'autorité impartit un délai à la partie pour fournir cette avance et l'avertit qu'en cas de défaut de paiement dans le délai, elle n'entrera pas en matière sur le recours (al. 2). L'avis du 1 er octobre 2015 est conforme à ces règles. b) Le recourant n'a pas payé l'avance de frais dans le délai prescrit. Le recours est partant irrecevable.</w:t>
      </w:r>
    </w:p>
    <w:p>
      <w:r>
        <w:rPr>
          <w:b/>
        </w:rPr>
        <w:t>E. 2</w:t>
      </w:r>
    </w:p>
    <w:p>
      <w:r>
        <w:t>Se pose la question de savoir si le délai doit être restitué, dans la mesure où le courrier du recourant du 4 novembre 2015 devrait être implicitement tenu pour une telle demande. a) Un délai peut être restitué lorsque la partie ou son mandataire établit qu'il a été empêché, sans faute de sa part, d'agir dans le délai fixé (art. 22 al. 1 LPA-VD). Par empêchement non fautif, il faut entendre non seulement l'impossibilité objective, comme la force majeure, mais aussi l'impossibilité subjective due à des circonstances personnelles ou à une erreur excusable. La partie qui désire obtenir une restitution de délai doit établir l'absence de toute faute de sa part. Est non fautive toute circonstance qui aurait empêché un plaideur consciencieux d'agir dans le délai fixé. Il n'y a pas matière à restitution lorsque l'inobservation du délai est due à la faute de la partie elle-même, de son mandataire ou d'un auxiliaire (cf. arrêt PE.2014.0010 du 24 mars 2014 et les arrêts cités). b) Le recourant a expliqué qu'il était très occupé par ses deux activités indépendantes, à tel point qu'il lui arrivait souvent de n'ouvrir sa boîte aux lettres qu'une fois par mois. Il incombait toutefois au recourant de s'assurer que l'avis du 1 er octobre 2015 lui parviendrait, à la suite du dépôt de son recours le 29 septembre 2015. En ne relevant pas son courrier pendant un mois à l'adresse qu'il a indiquée au Tribunal, le recourant n'a pas fait preuve de toute la diligence requise en pareille situation. On ne saurait dès lors considérer qu'il a été empêché sans faute d'agir dans le délai fixé. c) La demande de restitution du délai doit être rejetée.</w:t>
      </w:r>
    </w:p>
    <w:p>
      <w:r>
        <w:rPr>
          <w:b/>
        </w:rPr>
        <w:t>E. 3</w:t>
      </w:r>
    </w:p>
    <w:p>
      <w:r>
        <w:t>Le recours est irrecevable. Il se justifie de statuer sans frais; l’allocation de dépens n’entre pas en ligne de compte (cf. art. 49, 52, 55, 56 LPA-VD). L’avance de frais versée tardivement par le recourant lui sera restituée.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