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VD_OMNI GE.2015.0191 vom 26. November 2015</w:t>
      </w:r>
    </w:p>
    <w:p>
      <w:r>
        <w:t>VD Tribunal cantonal, 2015-11-26, FR</w:t>
      </w:r>
    </w:p>
    <w:p>
      <w:r>
        <w:rPr>
          <w:b/>
        </w:rPr>
        <w:t xml:space="preserve">Quelle: </w:t>
      </w:r>
      <w:r>
        <w:t>https://mcp.opencaselaw.ch/entscheid/vd_omni_GE.2015.0191</w:t>
      </w:r>
    </w:p>
    <w:p>
      <w:r>
        <w:t>FR: VD_OMNI GE.2015.0191 du 26 novembre 2015</w:t>
      </w:r>
    </w:p>
    <w:p>
      <w:r>
        <w:t>IT: VD_OMNI GE.2015.0191 del 26 novembre 2015</w:t>
      </w:r>
    </w:p>
    <w:p>
      <w:pPr>
        <w:pStyle w:val="Heading2"/>
      </w:pPr>
      <w:r>
        <w:t>Regeste</w:t>
      </w:r>
    </w:p>
    <w:p>
      <w:r>
        <w:t>A. B.________/Municipalité d'Aigle, Service des routes | Irrecevabilité du recours pour défaut de paiement de l'avance de frais.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Aux termes de l’art. 47 LPA-VD, la partie recourante est en principe tenu de fournir une avance de frais, à moins que l’autorité n’y renonce lorsque des circonstances particulières l’exigent (al. 2) ; l’autorité impartit un délai à la partie recourante pour fournir cette avance et l’avertit qu’en cas de défaut de paiement dans le délai, elle n’entrera pas en matière sur le recours (al. 3). L’avis du 2 octobre 2015 est conforme à ces règles.</w:t>
      </w:r>
    </w:p>
    <w:p>
      <w:r>
        <w:rPr>
          <w:b/>
        </w:rPr>
        <w:t>E. 2</w:t>
      </w:r>
    </w:p>
    <w:p>
      <w:r>
        <w:t>En l’espèce, la partie recourante n’a pas payé l’avance de frais dans le délai prescrit, ni demandé une prolongation de celui-ci. Le recours est partant irrecevable.</w:t>
      </w:r>
    </w:p>
    <w:p>
      <w:r>
        <w:rPr>
          <w:b/>
        </w:rPr>
        <w:t>E. 3</w:t>
      </w:r>
    </w:p>
    <w:p>
      <w:r>
        <w:t>Il se justifie de statuer sans frais judiciaires, ni dépens (art. 49, 52, 55 et 56 LPA-VD).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