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GE.2015.0165 vom 15. Januar 2016</w:t>
      </w:r>
    </w:p>
    <w:p>
      <w:r>
        <w:t>VD Tribunal cantonal, 2016-01-15, FR</w:t>
      </w:r>
    </w:p>
    <w:p>
      <w:r>
        <w:rPr>
          <w:b/>
        </w:rPr>
        <w:t xml:space="preserve">Quelle: </w:t>
      </w:r>
      <w:r>
        <w:t>https://mcp.opencaselaw.ch/entscheid/vd_omni_GE.2015.0165</w:t>
      </w:r>
    </w:p>
    <w:p>
      <w:r>
        <w:t>FR: VD_OMNI GE.2015.0165 du 15 janvier 2016</w:t>
      </w:r>
    </w:p>
    <w:p>
      <w:r>
        <w:t>IT: VD_OMNI GE.2015.0165 del 15 gennaio 2016</w:t>
      </w:r>
    </w:p>
    <w:p>
      <w:pPr>
        <w:pStyle w:val="Heading2"/>
      </w:pPr>
      <w:r>
        <w:t>Regeste</w:t>
      </w:r>
    </w:p>
    <w:p>
      <w:r>
        <w:t>A.________ SA/Service de l'emploi Contrôle du marché du travail et protection des travailleurs | Rejet du recours contre une décision du SDE mettant à la charge de la recourante les frais de contrôle. Il est établi que la société recourante a occupé à son service un travailleur étranger sans autorisation. La mesure prononcée respecte le principe de proportionnalité. C'est donc à juste titre que l'autorité intimée a mis à la charge de la recourante les frais de contrôle.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17 juin 2005 concernant des mesures en matière de lutte contre le travail au noir (Loi sur le travail au noir; LTN; RS 822.41), entrée en vigueur le 1 er janvier 2008, institue des mécanismes de contrôle et de répression (art. 1 LTN). Les cantons doivent désigner, dans le cadre de leur législation, l’organe de contrôle cantonal compétent sur leur territoire (art. 4 al. 1 LTN). Dans le Canton de Vaud, c’est la loi du 5  juillet 2005 sur l’emploi (LEmp; RSV 822.11), entrée en vigueur le 1 er janvier 2006, qui a notamment pour but de mettre en œuvre les mesures de lutte contre le travail au noir (art. 1 al. 2 let. f LEmp). Le SDE est l’organe de contrôle cantonal compétent au sens de la LTN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b)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c) En l'espèce, il est établi que la société recourante a occupé à son service un travailleur étranger sans autorisation. En qualité d’employeur de fait, celle-ci se devait toutefois de procéder aux vérifications qui s’imposent quant au statut légal de ce travailleur. Comme précédemment mentionné, ce manque de diligence est constitutif d’une infraction au droit fédéral des étrangers (art. 91 al. 1 LEmp). La société recourante est ainsi amenée à supporter les frais liés au contrôle durant lequel cette irrégularité a dû être constatée (art. 16 al. 1 LTN). C'est ainsi à juste titre que l'autorité intimée a mis à sa charge les frais occasionnés par le contrôle du 26 mai 2015 à hauteur de 1'250 fr., ce qui, au vu de la nature de l’affaire, n’apparaît pas disproportionné. Pour le reste, la société recourante ne conteste pas le décompte d'heures effectuées ni le tarif appliqué; il n’y a donc pas lieu d’examiner plus avant le mode de calcul retenu par l’autorité intimée. Il en résulte que la décision attaquée est bien fondée.</w:t>
      </w:r>
    </w:p>
    <w:p>
      <w:r>
        <w:rPr>
          <w:b/>
        </w:rPr>
        <w:t>E. 3</w:t>
      </w:r>
    </w:p>
    <w:p>
      <w:r>
        <w:t>Les considérants qui précèdent conduisent ainsi au rejet du recours et au maintien de la décision attaquée. La société recourante, qui succombe, supportera les frais de justice (art. 49 al. 1 LPA-VD). Il n'y a en outre pas lieu d'allouer de dépens en l’espèce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