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GE.2015.0159 vom 11. Januar 2016</w:t>
      </w:r>
    </w:p>
    <w:p>
      <w:r>
        <w:t>VD Tribunal cantonal, 2016-01-11, FR</w:t>
      </w:r>
    </w:p>
    <w:p>
      <w:r>
        <w:rPr>
          <w:b/>
        </w:rPr>
        <w:t xml:space="preserve">Quelle: </w:t>
      </w:r>
      <w:r>
        <w:t>https://mcp.opencaselaw.ch/entscheid/vd_omni_GE.2015.0159</w:t>
      </w:r>
    </w:p>
    <w:p>
      <w:r>
        <w:t>FR: VD_OMNI GE.2015.0159 du 11 janvier 2016</w:t>
      </w:r>
    </w:p>
    <w:p>
      <w:r>
        <w:t>IT: VD_OMNI GE.2015.0159 del 11 gennaio 2016</w:t>
      </w:r>
    </w:p>
    <w:p>
      <w:pPr>
        <w:pStyle w:val="Heading2"/>
      </w:pPr>
      <w:r>
        <w:t>Regeste</w:t>
      </w:r>
    </w:p>
    <w:p>
      <w:r>
        <w:t>X.________ Sàrl c/Service de la promotion économique et du commerce (SPECo), COMMISSION FEDERALE DES MAISONS DE JEUX CFMJ | Des appareils à sous servant au jeu d’adresse ne permettant de gagner que des parties gratuites peuvent-ils être autorisés hors des maisons de jeu dans le Canton de Vaud? Ni une analyse de droit comparé cantonal ni l'examen de la législation vaudoise ne permettent d'affirmer que les parties gratuites doivent être considérées comme des avantages matériels et que les appareils doivent donc être interdits hors maisons de jeu. La crainte que les tenanciers d’établissements détournent le fait que ces appareils ne permettent de gagner que des parties gratuites en payant les gains réalisés sur ces machines avec la caisse de l’établissement ne permet pas de justifier l’interdiction préventive d’appareils dont l’usage peut être tout à fait légal. Admission du recours.</w:t>
      </w:r>
    </w:p>
    <w:p>
      <w:pPr>
        <w:pStyle w:val="Heading2"/>
      </w:pPr>
      <w:r>
        <w:t>Erwägungen</w:t>
      </w:r>
    </w:p>
    <w:p>
      <w:r>
        <w:rPr>
          <w:b/>
        </w:rPr>
        <w:t>E. 1</w:t>
      </w:r>
    </w:p>
    <w:p>
      <w:r>
        <w:t>a) Selon l'art. 75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Si l'intérêt actuel disparaît en cours de procédure, le recours devient sans objet, alors qu'il est irrecevable si l'intérêt actuel faisait déjà défaut au moment du dépôt du recours (ATF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Ainsi, une partie qui n'est pas concrètement lésée par la décision ne possède pas la qualité pour recourir.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p. 208 et la jurisprudence citée). b) Il est en l'occurrence clair que la recourante a encore un intérêt actuel et pratique à ce que son recours soit tranché. Si le tribunal statue en sa faveur, elle pourra installer les appareils litigieux en dehors des maisons de jeu dans tout le canton de Vaud. Le retrait des appareils déjà installés procède d'une volonté de respecter les injonctions de l'autorité intimée et ne peut être reproché à la recourante.</w:t>
      </w:r>
    </w:p>
    <w:p>
      <w:r>
        <w:rPr>
          <w:b/>
        </w:rPr>
        <w:t>E. 2</w:t>
      </w:r>
    </w:p>
    <w:p>
      <w:r>
        <w:t>L'art. 106 Cst. dispose que la Confédération légifère sur les jeux d'argent en tenant compte des intérêts des cantons (al. 1). L'autorisation et la surveillance des jeux d'argent consistant en des jeux d'adresse sont du ressort des cantons (al. 3 let. c). Les jeux de hasard sont réservés aux maisons de jeu qui bénéficient d'une concession (art. 4 LMJ). Selon la LMJ, seuls les appareils à sous servant aux jeux d'adresse au sens de la LMJ peuvent encore être exploités dans les restaurants et autres locaux (art. 60 al. 3 LMJ), chaque canton disposant de la possibilité de se montrer plus strict à l’égard de ces jeux. Pour éviter que les cantons n'autorisent des jeux qui sont en réalité des jeux de hasard, le droit fédéral définit les jeux d'adresse et le droit cantonal ne peut pas déroger à cette définition. La LMJ définit les appareils à sous servant aux jeux d’adresse comme suit: " Les appareils à sous servant aux jeux d'adresse sont des appareils qui proposent un jeu d'adresse dont le déroulement est en grande partie automatique, la chance de réaliser un gain dépendant de l'adresse du joueur " (art. 3 al. 3 LMJ). Selon l’art. 8 LVLMJ, les appareils à sous servant aux jeux d'adresse ne sont pas autorisés dans le canton de Vaud en dehors des maisons de jeux. Leur exploitation est assimilée à celle des appareils automatiques à prépaiement. Le Conseil d’Etat vaudois a justifié cette mesure de la manière suivante: " Les machines à sous sont par essence des jeux de hasard. Il est difficile d’imaginer quelle serait la rentabilité des machines à sous lorsque les joueurs peuvent, par leur adresse, influer le sort du jeu de manière prépondérante. Afin d’éviter que des fabricants ou exploitants mettent des soi-disant jeux d’adresse dans les établissements publics, il est préférable de ne les autoriser que dans les maisons de jeu. Cela évitera également tout risque de confusion au sein de la population, non avertie des différences parfois subtiles, entre ces jeux. " (Exposé des motifs et projet de loi relatif à la LVLMJ, Bulletin du Grand Conseil 2001 p. 6375 ss, spéc. P. 6383).</w:t>
      </w:r>
    </w:p>
    <w:p>
      <w:r>
        <w:rPr>
          <w:b/>
        </w:rPr>
        <w:t>E. 3</w:t>
      </w:r>
    </w:p>
    <w:p>
      <w:r>
        <w:t>let. c de la loi précitée définit l'appareil de distraction comme " tout appareil qui fournit à titre onéreux une prestation de jeu ne permettant pas la réalisation d’un gain ". Ainsi, dans le Canton de Fribourg, les appareils à jetons ne sont pas considérés comme des appareils permettant des gains en argent (cf. arrêt du Tribunal administratif fribourgeois du 24 mai 2005 dans la cause 3A 05 56, se référant à l'ancien droit, mais encore valable avec la nouvelle loi pour ce qui concerne les appareils à jetons). La législation bernoise est pour sa part moins restrictive et admet l'installation (à raison d'un exemplaire maximum par établissement) de machines à sous à jetons dans les établissements d'hôtellerie et de restauration (cf. art. 6 de l'ordonnance du 20  décembre 1995  sur les appareils de jeu [OAJ; RSB 935.551]). Ce type d'appareil est autorisé uniquement à la condition que les jetons puissent être échangés exclusivement et gratuitement sur place contre une boisson, un menu, un jeu ou des prix similaires ou encore contre des bons de marchandises à faire valoir dans un commerce de détail ou une entreprise de services déterminés, que l'échange en espèces des jetons gagnés soit interdit et que la valeur maximale du gain autorisée soit de 50 francs, sans possibilité de report sur le jeu suivant (art. 5 OAJ). cc) Sur le plan de l'évolution législative, il faut souligner encore que, le 21 octobre 2015, le Conseil fédéral a adopté un projet de loi à l’intention du Parlement, lequel a pour but de soumettre tous les jeux d’argent à une seule loi pour assurer une plus grande cohérence. Le champ d’application de ce projet de loi comprend " tous les jeux qui, moyennant une mise d’argent ou la conclusion d’un acte juridique, laissent espérer un gain pécuniaire ou un autre avantage appréciable en argent " ( Message consultable sur le site du Département fédéral de justice et police, p. 20). Le message ne définit pas plus précisément l'avantage appréciable en argent, mentionnant uniquement que " Un jeu qui (...) n’offrirait ni gain pécuniaire ni autre avantage appréciable en argent, voire aucun de ces éléments, n’est pas un jeu d’argent. Il en est ainsi des jeux de divertissement tels que les flippers, car il manque la possibilité de réaliser un gain pécuniaire ou d’obtenir un autre avantage appréciable en argent " (Message précité, p .47). On ne peut ainsi pas tirer de ce projet de loi d'élément déterminant pour trancher la question qui se pose dans la présente affaire. c) Au vu du but de protection recherché par la législation sur les jeux, il n’apparaît pas arbitraire d’interpréter de manière relativement large la notion de gain, de façon à limiter les situations à risque, plus particulièrement pour les joueurs pathologiques. D’ailleurs, c’est aussi dans cette optique de protection que la loi vaudoise a décidé de réserver aux maisons de jeu l’exploitation des appareils à sous servant aux jeux d’adresse. On peine cependant à imaginer que des jeux qui n’offrent comme seul gain que des parties gratuites puissent créer une situation à risque pour les joueurs à tendance pathologique. L’’interprétation de l'autorité intimée, qui est aussi celle exprimée par la CFMJ, va clairement plus loin que la jurisprudence rendue à ce jour dans le domaine, puisque la jurisprudence n’a qualifié jusqu’à présent d’avantages matériels que les parties gratuites qui donnaient ensuite lieu au versement d'un gain en argent (cf. notamment ATAF B-2309/2006 du 22 avril 2007 consid. 5.5 et 5.6). Tel n’est pas le cas pour les jeux en cause. Il ressort en outre des considérants susmentionnés que la question n'est pas réglée de manière uniforme dans les cantons romands. Certes, la notion d'" appareil à sous " est une notion de droit cantonal et le droit fédéral ne serait pas violé, même si les cantons adoptaient 26 définitions différentes de l'" appareil à sous " (cf. déterminations de la CFMJ devant le Tribunal fédéral du 1 er décembre 2014, p. 4). On peut néanmoins déduire de ce qui précède qu'il n'y a pas d’appréciation commune intercantonale, en particulier sur le risque de dépendance découlant de gains consistant en parties gratuites, puisque celles-ci sont autorisées dans divers cantons. L'analyse comparée ne permet dès lors pas de suppléer à l'absence de précision de la base légale vaudoise en rapport avec les parties gratuites. En outre, vu l’élément d’adresse qu’ils impliquent, selon la qualification qui leur a été octroyée par la CFMJ, les jeux litigieux servent également au divertissement de ceux qui y jouent. Le divertissement étant une notion éminemment subjective, elle est au surplus difficile à évaluer. Dans le cas présent, on distingue mal sur quelle base l’autorité intimée dénie aux jeux en cause la possibilité de divertir les joueurs. Le SPEco se limite à évoquer la courte durée des parties, mais sans donner aucune indication précise à ce propos. Au vu de ses écritures (notamment celles du 15 mai 2014), il apparaît bien plutôt que la véritable raison de l’interdiction des appareils en cause consiste en la crainte de l’intimée que les tenanciers d’établissements, afin de rentabiliser ces appareils, les détournent, en payant les gains réalisés sur ces machines avec la caisse de l’établissement. Cet argument procède toutefois d’un pur procès d’intention à l’égard des exploitants d’établissements concernés. Il ne saurait être admis pour justifier une décision administrative, quelle qu’elle soit. S’il s’avérait que certains tenanciers ne respectent effectivement pas la loi, l’autorité intimée pourra alors utiliser les voies juridiques pour interdire l’utilisation illégale des appareils. Une simple crainte, ne reposant au surplus sur aucune circonstance objective, ne permet pas de justifier l’interdiction préventive d’appareils dont l’usage peut être tout à fait légal. La décision attaquée procède ainsi d’un abus du pouvoir d'appréciation de l'autorité intimée.</w:t>
      </w:r>
    </w:p>
    <w:p>
      <w:r>
        <w:rPr>
          <w:b/>
        </w:rPr>
        <w:t>E. 4</w:t>
      </w:r>
    </w:p>
    <w:p>
      <w:r>
        <w:t>Il résulte des considérants qui précèdent que le recours doit être admis et la décision attaquée annulée. La cause sera renvoyée à l'autorité intimée pour nouvelle décision en ce sens que l’exploitation des appareils litigieux est autorisée en dehors des maisons de jeux dans le canton de Vaud. Vu le sort du recours, les frais du présent arrêt seront laissés à la charge de l’Etat. Obtenant gain de cause et ayant procédé par l’intermédiaire d’un mandataire professionnel, la recourante se verra allouer des dépens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