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GE.2015.0063 vom 22. Mai 2015</w:t>
      </w:r>
    </w:p>
    <w:p>
      <w:r>
        <w:t>VD Tribunal cantonal, 2015-05-22, FR</w:t>
      </w:r>
    </w:p>
    <w:p>
      <w:r>
        <w:rPr>
          <w:b/>
        </w:rPr>
        <w:t xml:space="preserve">Quelle: </w:t>
      </w:r>
      <w:r>
        <w:t>https://mcp.opencaselaw.ch/entscheid/vd_omni_GE.2015.0063</w:t>
      </w:r>
    </w:p>
    <w:p>
      <w:r>
        <w:t>FR: VD_OMNI GE.2015.0063 du 22 mai 2015</w:t>
      </w:r>
    </w:p>
    <w:p>
      <w:r>
        <w:t>IT: VD_OMNI GE.2015.0063 del 22 maggio 2015</w:t>
      </w:r>
    </w:p>
    <w:p>
      <w:pPr>
        <w:pStyle w:val="Heading2"/>
      </w:pPr>
      <w:r>
        <w:t>Regeste</w:t>
      </w:r>
    </w:p>
    <w:p>
      <w:r>
        <w:t>X.________ c/AUTORITE DE SURVEILLANCE LPP ET DES FONDATIONS DE SUISSE OCCIDENTALE | La lettre par laquelle l'autorité de surveillance des fondations de Suisse occidentale avertit la fondation recourante qu'un avis comminatoire lui sera adressé si elle ne produit pas ses états financiers dans un certain délai n'est pas une décision au sens de l'art. 3 LPA-VD. Cet acte ne modifie en effet pas la situation juridique de l'intéressée. Il s'agit tout au plus d'un pré-avertissement "informel", contre lequel aucune voie de droit n'est ouverte. Recours irrecevable.</w:t>
      </w:r>
    </w:p>
    <w:p>
      <w:pPr>
        <w:pStyle w:val="Heading2"/>
      </w:pPr>
      <w:r>
        <w:t>Erwägungen</w:t>
      </w:r>
    </w:p>
    <w:p>
      <w:r>
        <w:rPr>
          <w:b/>
        </w:rPr>
        <w:t>E. 1</w:t>
      </w:r>
    </w:p>
    <w:p>
      <w:r>
        <w:t>a) Le droit d'être entendu, tel qu'il est garanti par l'art. 29 al. 2 de la Constitution fédérale de la Confédération suisse du 18 avril 1999 (Cst.; RS 101),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(ATF 137 IV 33 consid. 9.2 p. 48 s.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 b) En l'espèce, la recourante a requis la production de plusieurs pièces qui ne figureraient pas dans le dossier de l'autorité intimée. Il n'y a pas lieu de donner suite à cette mesure d'instruction. Les documents dont la production est requise n'ont en effet aucune incidence sur l'issue du litige, puisque, comme on le verra ci-après, l'acte attaqué n'est pas une décision sujette à recours.</w:t>
      </w:r>
    </w:p>
    <w:p>
      <w:r>
        <w:rPr>
          <w:b/>
        </w:rPr>
        <w:t>E. 2</w:t>
      </w:r>
    </w:p>
    <w:p>
      <w:r>
        <w:t>Le Tribunal cantonal examine d'office et librement la recevabilité des recours qui lui sont soumis. a) Aux termes de l'art. 92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arrêts GE.2014.0201 du 21 janvier 2015; PE.2013.0214 du 14 août 2014; GE.2014.0041 du 27 mai 2014 et les références). Ne constitue pas non plus une décision le simple rappel des conséquences d'un comportement ou d'une violation de la loi (arrêt GE.2010.0025 du 5 mai 2010; voir ég. Thierry Tanquerel, Manuel de droit administratif, Genève, Zurich, Bâle 2011, p. 276). Est en revanche une décision le prononcé d'un avertissement formel, que celui-ci constitue explicitement une sanction disciplinaire, qu'il soit une étape obligatoire précédant une éventuelle mesure préjudiciable au destinataire ou encore qu'il favorise ou prépare une mesure ultérieure qui, autrement, pourrait être jugée contraire au principe de la proportionnalité (ATF 125 I 119; 103 Ia 426; voir ég. Thierry Tanquerel, op. cit., p. 276 s.). b) En l'espèce, l'acte attaqué est une lettre de l'autorité intimée qui fait suite à plusieurs demandes de prolongation de délai formées par la recourante pour produire ses états financiers pour l'exercice comptable 2013. Cet acte ne prononce pas de sanction. Il ne comporte pas non plus de menace de sanction ou de menace de dénonciation pénale. Il ne fait qu'avertir la recourante qu'un avis comminatoire lui sera adressé si elle ne produit pas les documents requis d'ici au 9 mars 2015. Ainsi, contrairement à ce que la recourante prétend, elle ne sera pas dénoncée pénalement à l'échéance de ce délai, si elle ne s'exécute pas. On ne voit dans ces conditions pas en quoi sa situation juridique est modifiée par l'acte attaqué. Comme le relève l'autorité intimée, sa lettre constitue tout ou plus un simple pré-avertissement " informel ", contre lequel aucune voie de droit n'est ouverte comme on l'a rappelé ci-dessus. L'acte attaqué n'est donc pas une décision au sens de l'art. 3 LPA-VD.</w:t>
      </w:r>
    </w:p>
    <w:p>
      <w:r>
        <w:rPr>
          <w:b/>
        </w:rPr>
        <w:t>E. 3</w:t>
      </w:r>
    </w:p>
    <w:p>
      <w:r>
        <w:t>Il s'ensuit que le recours doit être déclaré irrecevable.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