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GE.2015.0049 vom 16. Oktober 2015</w:t>
      </w:r>
    </w:p>
    <w:p>
      <w:r>
        <w:t>VD Tribunal cantonal, 2015-10-16, FR</w:t>
      </w:r>
    </w:p>
    <w:p>
      <w:r>
        <w:rPr>
          <w:b/>
        </w:rPr>
        <w:t xml:space="preserve">Quelle: </w:t>
      </w:r>
      <w:r>
        <w:t>https://mcp.opencaselaw.ch/entscheid/vd_omni_GE.2015.0049</w:t>
      </w:r>
    </w:p>
    <w:p>
      <w:r>
        <w:t>FR: VD_OMNI GE.2015.0049 du 16 octobre 2015</w:t>
      </w:r>
    </w:p>
    <w:p>
      <w:r>
        <w:t>IT: VD_OMNI GE.2015.0049 del 16 ottobre 2015</w:t>
      </w:r>
    </w:p>
    <w:p>
      <w:pPr>
        <w:pStyle w:val="Heading2"/>
      </w:pPr>
      <w:r>
        <w:t>Regeste</w:t>
      </w:r>
    </w:p>
    <w:p>
      <w:r>
        <w:t>X.________/Municipalité de Lausanne | Confirmation du licenciement du recourant, employé communal, dont les prestations professionnelles ont régulièrement été évaluées insuffisantes ou tout juste suffisantes depuis plusieurs années et qui a déjà fait l'objet d'avertissements et d'au moins une mise en demeure formelle valable. Le licenciement pour justes motifs est justifié dans son principe (consid. 3d). Sur le plan formel, il est vrai que le recourant n'a pas formellement reçu de mise en demeure - dont il a refusé de prendre connaissance lorsque son supérieur hiérachique a voulu la lui remettre en mains propres - mais, vu les circonstances, il devait toutefois s'y attendre; quoi qu'il en soit, il a peu de temps après, alors qu'il était en arrêt maladie, déclaré à un collègue que s'il n'était pas sous médicament, il pourrait faire un carnage ou une boucherie et a confirmé ces propos à deux reprises à ses supérieurs hiérarchiques en précisant qu'il visait des personnes et non du matériel, rendant ainsi superflue une nouvelle mise en demeure formelle (consid. 3e). Recours rejeté.</w:t>
      </w:r>
    </w:p>
    <w:p>
      <w:pPr>
        <w:pStyle w:val="Heading2"/>
      </w:pPr>
      <w:r>
        <w:t>Erwägungen</w:t>
      </w:r>
    </w:p>
    <w:p>
      <w:r>
        <w:rPr>
          <w:b/>
        </w:rPr>
        <w:t>E. 1</w:t>
      </w:r>
    </w:p>
    <w:p>
      <w:r>
        <w:t>L'organisation de l'administration fait partie des tâches propres des autorités communales (art. 2 de la loi vaudoise du 28 février 1956 sur les communes –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 cf. arrêt GE.2011.0198 du 20 février 2012 consid. 1) . L'exercice de ce pouvoir est limité par les principes constitutionnels régissant le droit administratif, tels que la légalité, la bonne foi, l'égalité de traitement, la proportionnalité, l'interdiction de l'arbitraire (ATF 108 I b 209; voir aussi arrêt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de la loi du 28 octobre 2008 sur la procédure administrative - LPA-VD; RSV 173.36) et doit exercer son pouvoir d'examen avec beaucoup de retenue.</w:t>
      </w:r>
    </w:p>
    <w:p>
      <w:r>
        <w:rPr>
          <w:b/>
        </w:rPr>
        <w:t>E. 2</w:t>
      </w:r>
    </w:p>
    <w:p>
      <w:r>
        <w:t>Le recourant invoque la constatation incomplète des faits pertinents, dès lors que l'autorité intimée n'aurait pas respecté l'obligation de mise en demeure formelle écrite préalablement au licenciement pour justes motifs, prévue par l'art. 71bis RPAC. Il s'en prend par ailleurs au principe même du licenciement, les justes motifs n'étant selon lui pas réalisés.</w:t>
      </w:r>
    </w:p>
    <w:p>
      <w:r>
        <w:rPr>
          <w:b/>
        </w:rPr>
        <w:t>E. 3</w:t>
      </w:r>
    </w:p>
    <w:p>
      <w:r>
        <w:t>A l'issue de son audition, le fonctionnaire doit être informé de la possibilité de demander la consultation préalable de la Commission paritaire prévue à l'article 75.</w:t>
      </w:r>
    </w:p>
    <w:p>
      <w:r>
        <w:rPr>
          <w:b/>
        </w:rPr>
        <w:t>E. 4</w:t>
      </w:r>
    </w:p>
    <w:p>
      <w:r>
        <w:t>Il résulte de ce qui précède que le recours doit être rejeté et la décision attaquée, confirmée. Les frais de justice sont laissés à la charge de l'Etat. Il n'est pas alloué de dépens (art. 49, 50,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