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GE.2014.0211 vom 23. Januar 2015</w:t>
      </w:r>
    </w:p>
    <w:p>
      <w:r>
        <w:t>VD Tribunal cantonal, 2015-01-23, FR</w:t>
      </w:r>
    </w:p>
    <w:p>
      <w:r>
        <w:rPr>
          <w:b/>
        </w:rPr>
        <w:t xml:space="preserve">Quelle: </w:t>
      </w:r>
      <w:r>
        <w:t>https://mcp.opencaselaw.ch/entscheid/vd_omni_GE.2014.0211</w:t>
      </w:r>
    </w:p>
    <w:p>
      <w:r>
        <w:t>FR: VD_OMNI GE.2014.0211 du 23 janvier 2015</w:t>
      </w:r>
    </w:p>
    <w:p>
      <w:r>
        <w:t>IT: VD_OMNI GE.2014.0211 del 23 gennaio 2015</w:t>
      </w:r>
    </w:p>
    <w:p>
      <w:pPr>
        <w:pStyle w:val="Heading2"/>
      </w:pPr>
      <w:r>
        <w:t>Regeste</w:t>
      </w:r>
    </w:p>
    <w:p>
      <w:r>
        <w:t>X.________ SARL c/Service de l'emploi Contrôle du marché du travail et protection des travailleurs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2008 sur la procédure administrative (LPA-VD; RSV 173.36), en procédure de recours administratif et de recours de droit administratif, le recourant est en principe tenu de fournir une avance de frais (al. 2, 1 ère phrase). L'autorité impartit un délai à la partie pour fournir l'avance de frais et l'avertit qu'en cas de défaut de paiement dans le délai, elle n'entrera pas en matière sur la requête ou le recours (al. 3), - qu'en l'espèce, il apparaît que la recourante n'a pas procédé au dépôt de l'avance de frais de 500 fr. dans le délai au 5 janvier 2014 qui lui a été imparti dans l'accusé de réception du 2 décembre 2014, - qu’elle n’a pas non plus requis la prolongation de ce délai en temps utile (cf. art. 21 al. 2 LPA-VD), - que la recourante a dûment été avertie qu’à défaut de paiement dans le délai imparti, le recours serait déclaré irrecevable, - qu'il n'y a dès lors pas lieu d'entrer en matière sur le recours (art. 47 al. 3 LPA-VD), qui doit être déclaré irrecevable, - qu'une telle décision d'irrecevabilité relève de la compétence de la CDAP statuant à trois juges (cf. art. 94 LPA-VD; ATF 137 I 161 consid. 4.5), - que, compte tenu de l'issue de la procédure, il n'est pas perçu d'émolument (cf. art. 49 al. 1 et 50 LPA-VD) ni alloué de dépens (cf.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