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GE.2014.0197 vom 4. Mai 2015</w:t>
      </w:r>
    </w:p>
    <w:p>
      <w:r>
        <w:t>VD Tribunal cantonal, 2015-05-04, FR</w:t>
      </w:r>
    </w:p>
    <w:p>
      <w:r>
        <w:rPr>
          <w:b/>
        </w:rPr>
        <w:t xml:space="preserve">Quelle: </w:t>
      </w:r>
      <w:r>
        <w:t>https://mcp.opencaselaw.ch/entscheid/vd_omni_GE.2014.0197</w:t>
      </w:r>
    </w:p>
    <w:p>
      <w:r>
        <w:t>FR: VD_OMNI GE.2014.0197 du 4 mai 2015</w:t>
      </w:r>
    </w:p>
    <w:p>
      <w:r>
        <w:t>IT: VD_OMNI GE.2014.0197 del 4 maggio 2015</w:t>
      </w:r>
    </w:p>
    <w:p>
      <w:pPr>
        <w:pStyle w:val="Heading2"/>
      </w:pPr>
      <w:r>
        <w:t>Regeste</w:t>
      </w:r>
    </w:p>
    <w:p>
      <w:r>
        <w:t>X._____________SA c/Municipalité de Faoug, Direction générale de l'environnement (DGE) | Concession autorisant la commune de Faoug à faire usage des eaux et de la grève publique du lac de Morat pour construire et exploiter un port public de plaisance, dont l'exercice a été cédé par la commune à un tiers, à charge pour lui de lui rembourser la taxe fixe de concession et autres redevances dues par celle-ci au canton et de réaliser le port, sans participation financière de la commune, moyennant transfert du droit de prélever les taxes d’amarrage et d’entretien. Avant son décès, ce tiers constitue un SA, à laquelle il cède l'exploitation du port. Demande ultérieure d'approbation du transfert à la SA de la sous-concession à laquelle la municipalité de Faoug refuse de répondre de façon claire. Recours admis pour déni de justice formel; la SA était en droit d’obtenir de la part de la municipalité une décision claire et dénuée d’ambiguïté sur l’approbation par elle du transfert de la sous-concession.</w:t>
      </w:r>
    </w:p>
    <w:p>
      <w:pPr>
        <w:pStyle w:val="Heading2"/>
      </w:pPr>
      <w:r>
        <w:t>Erwägungen</w:t>
      </w:r>
    </w:p>
    <w:p>
      <w:r>
        <w:rPr>
          <w:b/>
        </w:rPr>
        <w:t>E. 1</w:t>
      </w:r>
    </w:p>
    <w:p>
      <w:r>
        <w:t>Dans sa réponse, l’autorité intimée a conclu à titre préliminaire à ce que l’avocat Markus Jungo ne puisse postuler en tant qu’avocat dans la présente cause. Elle voit un conflit d’intérêts dans le fait que ce mandataire préside à la fois le conseil d’administration de Chantier Naval Y._______________ SA et celui de X.______________ SA. Elle évoque à cet égard l’art. 12 let. c de la loi fédérale du 23 juin 2000 sur la libre circulation des avocats (LLCA; RS 935.61), qui prévoit que, parmi les règles professionnelles auxquelles il est soumis, l’avocat évite tout conflit entre les intérêts de son client et ceux des personnes avec lesquelles il est en relation sur le plan professionnel ou privé. C’est omettre que Markus Jungo, comme tout avocat, est subordonné à une autorité de surveillance (art. 14 LLCA), non seulement dans le canton dans lequel il est inscrit, mais également au dehors, celle-ci devant informer l'autorité de surveillance du canton au registre duquel l'avocat est inscrit en cas d’ouverture d’une procédure disciplinaire contre un avocat non inscrit dans le registre du canton (cf. art. 16 al. 1 LLCA). Or, la Cour de droit administratif et public (CDAP) du Tribunal cantonal l'autorité cantonale, qui n’est pas chargée de la surveillance des avocats, n’a aucune compétence en la matière. Celle-ci relève de la Chambre des avocats (art. 9 al. 1 de la loi cantonale du 24 septembre 2002 sur la profession d’avocat [LPAv; RSV 177.11]), laquelle se saisit d'office, sur plainte ou sur dénonciation, de toute question concernant l'activité professionnelle d'un avocat (art. 10 al. 1 LPAv). Il appartiendra dès lors à l’autorité intimée de dénoncer le mandataire de la recourante, si elle estime que celui-ci a violé les règles professionnelles auxquelles la loi le soumet. Quoi qu’il en soit, cette violation, pour autant qu’elle soit démontrée, n’affecte nullement la validité formelle du pourvoi dont la recourante a saisi le Tribunal cantonal.</w:t>
      </w:r>
    </w:p>
    <w:p>
      <w:r>
        <w:rPr>
          <w:b/>
        </w:rPr>
        <w:t>E. 2</w:t>
      </w:r>
    </w:p>
    <w:p>
      <w:r>
        <w:t>Il importe au préalable de vérifier la compétence du Tribunal de connaître du présent recours à raison de la matière. a) On rappelle à titre préliminaire que le Tribunal cantonal connaît des recours contre les décisions et décisions sur recours rendues par les autorités administratives, lorsque la loi ne prévoit aucune autre autorité pour en connaître (cf. art. 92 al. 1 de la loi vaudoise du 28 octobre 2008 sur la procédure administrative [LPA-VD; RSV 173.36] ). Est une décision toute mesure prise par une autorité dans un cas d'espèce, en application du droit public, et ayant pour objet (art. 3 al. 1 LPA-VD):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Sont des autorités administratives les organes du canton, des communes, des associations ou fédérations de communes et des agglomérations, ainsi que les personnes physiques ou morales, qui sont légalement habilités à rendre des décisions (art. 4 LPA-VD). Les règles définissant les compétences des autorités administratives sont de nature impérative; on ne peut donc ni les modifier ni y déroger, pas même par le biais d'un accord entre autorité et partie (cf. art. 6 al. 2 LPA-VD). De même, les prorogations ou les clauses attributives de juridiction, par lesquelles les parties conviennent de déroger à une règle de droit public de compétence à raison de la matière, sont en principe exclues; tel est le cas notamment lorsque doit être suivie la voie de la procédure de décision (arrêt GE.2002.0102 du 17 novembre 2004 consid. 2b et les références). b) Dans le canton de Vaud, les lacs, rivages, grèves sont du domaine public (art. 138 al. 1, ch. 2 de la loi d’introduction dans le canton de Vaud du Code civil suisse du 30 novembre 1910). Ainsi en est-il des eaux du lac Léman. Le droit de disposer des eaux dépendant du domaine public appartient à l'Etat (art. 1 er de la loi vaudoise du 5 septembre 1944 sur l'utilisation des lacs et cours d'eau dépendant du domaine public [LLC; RSV 731.01]), qui peut en octroyer l’usage pour des ports sous forme de concession (art. 24 al. 1 LLC). Dès lors, le stationnement permanent d'un bateau dans un port constitue un usage privatif du domaine public lacustre, soumis, en droit vaudois, à concession (v. en dernier lieu, arrêts GE.2011.0119 du 20 février 2012; GE.2010.0141 du 16 février 2011; v. en outre GE.2007.0043 du 24 août 2007). L'autorisation du département est accordée sous la forme d'une concession; sa durée est de huitante ans au maximum (art. 4 al. 1 LLC). L'autorisation est donnée sous forme de concession dont la durée n'excède pas cinquante ans, s'il s'agit d'installations communales, et trente ans, s'il s'agit d'installations privées (art. 84 al. 1 du règlement d'application du 17 juillet 1953 de la LLC et de la loi du 12 mai 1948 réglant l'occupation et l'exploitation des eaux souterraines dépendant du domaine public cantonal [RLLC; RSV 731.01.1]). On considère généralement que la concession, acte relevant exclusivement du droit public, présente une nature mixte, pour partie unilatérale (objet d'une décision au sens de l'art. 3 al. 1 LPA-VD) et pour le surplus bilatérale (objet d'un contrat). Les clauses unilatérales résultent directement ou impérativement de la loi, tandis que le contenu des clauses bilatérales est négocié par les parties. Celles-ci n'engagent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(ATF 130 II 18 consid. 3.1 p. 21 et les réf. cit.; cf. également arrêts GE.2010.0141 du 16 février 2011 consid. 1b; GE.2002.0102, déjà cité, consid. 2c; cf., sur la nature juridique de la concession, Bernhard Waldmann , Die Konzession – Eine Einführung, in : Die Konzession, Häner/Waldmann [ éds ] Bâle/Genève 2011, p. 17 et ss ). Doctrine et jurisprudence s'accordent en revanche pour qualifier d'unilatérales les clauses permettant à l'autorité concédante d'intervenir pour s'assurer directement du respect de l'intérêt public; tel est le cas, en particulier, des dispositions incorporées dans le règlement d'un port pour permettre à l'autorité de révoquer dans ce but, par le biais d'une décision, les sous-concessions délivrées à des particuliers (cf. arrêt GE.2002.0102 précité, consid. 2c et les références). c) Dans le cas d’espèce, la concession délivrée par le Conseil d'Etat le *************, fondée sur les art. 4 al. 1 et 24 al. 1 LLC, permet à la commune de 1.************** d'accorder elle-même des droits d'usage du domaine public, lesquels peuvent être qualifiés de " sous-concessions du domaine public " (v. sur ce point JT 1986 III p. 34 ss; voir également arrêts GE.2012.0212 du 22 avril 2013 consid. 1b; GE.2010.0141 du 16 février 2011 consid. 1b; GE.2007.0043 du 24 août 2007 consid. 2b). En l’occurrence, elle l’a fait en cédant le 8 septembre 1980 à Y._______________ l’exercice de dite concession. Les rapports fondés sur une sous-concession du domaine public étant exclusivement régis par le droit public, les dispositions contractuelles régissant le droit du bail dans le Code des obligations ne peuvent être invoquées, même à titre de droit cantonal supplétif (v. arrêts GE.2012.0212 et GE.2007.0043, déjà cités). Requise d’approuver formellement et par écrit le transfert de cette sous-concession à la recourante, l’autorité intimée n’a donné aucune suite à cette demande. Les parties semblent s’accorder pour dire que c'est par le biais d'une décision au sens de l’art. 3 al. 1 let. c LPA-VD que l'autorité intimée aurait statué. Comme on le verra plus loin, on pourrait cependant y voir une absence de décision. Quoi qu’il en soit, le litige relève en conséquence de la compétence du Tribunal cantonal, singulièrement de la CDAP, dès lors que la loi ne prévoit aucune autre autorité pour en connaître (art. 94 al. 1 LPA-VD). Du reste, plus généralement, le Tribunal administratif, auquel la CDAP a succédé le 1 er janvier 2008, a déjà eu l'occasion de relever que les décisions prises en vertu d’un acte de puissance publique consistant à céder l'usage d'une partie du domaine public sont sujettes à recours devant l'autorité de céans (arrêts GE.2005.0211 du 25 janvier 2007; GE.2005.0077 du 30 juin 2006).</w:t>
      </w:r>
    </w:p>
    <w:p>
      <w:r>
        <w:rPr>
          <w:b/>
        </w:rPr>
        <w:t>E. 3</w:t>
      </w:r>
    </w:p>
    <w:p>
      <w:r>
        <w:t>Toujours sur le plan procédural, l’autorité intimée fait valoir que la recourante aurait agi à tard et que, par conséquent, son recours devrait être déclaré irrecevable. a) Le recours au Tribunal cantonal s'exerce dans les 30 jours dès la notification de la décision ou du jugement attaqués (art. 95 LPA-VD). Les délais fixés dans la loi ne peuvent être prolongés (art. 21 al. 1 LPA-VD). Ceux impartis par l’autorité peuvent être prolongés s’il existe des motifs sérieux ou suffisants et que la demande de prolongation est présentée avant l’expiration de ces délais (ibid., al. 2). L es délais de recours sont péremptoires; cela signifie que leur non-respect entraîne la perte du droit, contrairement aux délais d'ordre dont l'inobservation n'entraîne pas une telle sanction, mais peut avoir des conséquences sur la question de l'émolument ou des dépens (voir sur ce point, Pierre Moor/Etienne Poltier, Droit administratif, vol. II, 3 ème éd., Berne 2011, op. cit., n° 2.2.6.7). L’inobservation des délais légaux ne peut, quant à elle, être corrigée que par la voie de la restitution (v. Jean-Maurice Frésard, in : Commentaire de la loi sur le Tribunal fédéral, Berne 2009, ad art. 47 LTF n° 4, p. 314). U ne décision est en règle générale définitive lorsqu'elle ne peut plus faire l'objet d'un recours, le délai imparti à cet effet s'étant écoulé sans avoir été utilisé (cf. art. 58 let. a LPA-VD ; v. sur cette question, Moor/Poltier, op. cit., nos 2.1.2.2 et 2.2.1.2). Dès lors que les administrés ou institutions qui auraient qualité pour recourir y renoncent ou que la loi la met à l’abri de tout recours, la décision est définitive, ce qui signifie que, quelque irrégulière qu’elle soit (sauf nullité), elle bénéficie de la force de chose décidée et sera de droit aussi longtemps que l’autorité compétente ne l’aura pas modifiée aux conditions propres – et restrictives – de ce genre d’opération (Moor/Poltier, nos 2.2.1.2 et 2.4.1). Ainsi, elle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b)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298/299). Cela étant, celui qui s'aperçoit du vice affectant l'indication de la voie de droit ou qui devait s'en apercevoir en faisant usage de la prudence que l'on pouvait attendre de lui, ne peut se prévaloir d'une indication inexacte ou incomplète sur ce point (ATF 138 I 49 consid. 8.3.2 p. 54; 129 II 125 consid.</w:t>
      </w:r>
    </w:p>
    <w:p>
      <w:r>
        <w:rPr>
          <w:b/>
        </w:rPr>
        <w:t>E. 3.3</w:t>
      </w:r>
    </w:p>
    <w:p>
      <w:r>
        <w:t>p. 134/135; 127 II 198 consid. 2c p. 205; 121 II 72 consid. 2a p. 78; 119 IV 330 consid. 1c p. 333, et les arrêts cités; indication erronée du délai de recours contre une décision d’adjudication, v. ATF 2P.56/2006 du 17 mars 2006; cf. également arrêt PS.2005.0054 du 15 juin 2005 consid. 1a p. 3 ). En particulier, ne mérite pas de protection la partie dont l’avocat eût pu déceler l’omission ou l’erreur par la seule lecture du texte légal, sans recourir à la consultation de la jurisprudence ou de la doctrine (ATF 138 I 49 consid. 8.3.2 p. 54; 134 I 199 consid. 1.3.1 p. 203; 127 II 198 consid. 2 c p. 205). c) En l’espèce, il n’est ni contestable, ni du reste contesté, que la recourante exploite actuellement le port de plaisance faisant l’objet de la concession du *************. Cette indication figure même expressément sur le site Internet de la commune (cf. http://www.1.**************.ch/index.php?mh=1.**************%20pratique&amp;menu=Tourisme&amp;smenu=Ports&amp;ssmenu=Nouveau%20port). Toutefois, c’est à la réception de la correspondance de la DGE du 29 janvier 2013 que la recourante, qui souhaitait augmenter les tarifs du port, s’est rendue compte qu’il lui appartenait au préalable de faire approuver formellement par les autorités compétentes, à savoir la Municipalité de 1.************** et le Département du territoire et de l’environnement (ci-après: DTE), le transfert de la cession du 8 septembre 1980 par la commune à Y._______________ de l’exercice de la concession du *************. Elle a invité l’autorité intimée à procéder à ce transfert et, dans sa réponse du 14 mars 2014, celle-ci a sans doute fait connaître son refus d’approuver purement et simplement ce transfert, comme elle en avait été pourtant requise. Dans le même temps toutefois, ce refus n’apparaissait guère comme étant définitif, puisque l’autorité intimée se disait disposée à discuter de l’établissement d’une nouvelle convention et proposait même de rencontrer les représentants de la recourante à cet effet. L’on ne saurait dès lors reprocher à la recourante de n’avoir pas recouru à ce moment-là, ceci d’autant moins que cette correspondance ne saurait être assimilée à une décision au sens de l’art. 3 al. 1 LPA-VD. L’autorité intimée fait cependant valoir que la recourante savait, au moins depuis la réception de sa correspondance du 29 août 2014, que son refus d’approuver le transfert de la convention du 8 septembre 1980 devait être considéré comme définitif. Pour elle, la recourante aurait agi tardivement en déférant ce refus au Tribunal cantonal le 5 novembre 2014 seulement. L’autorité intimée perd de vue que dans cette correspondance, elle n’a fait que répéter les explications de la DGE, aux termes desquelles la concession n°************* du ************* n’était pas cessible. Toutefois, nonobstant la teneur inappropriée de la demande de la recourante, telle qu’elle a été formulée le 14 août 2014, celle-ci entendait non pas que cette concession lui fût cédée, mais bien que la commune approuve par écrit le transfert de la convention du *************. C’est au demeurant ce qui avait été convenu à l’issue de l’entretien du 12 août 2014 ayant réuni les représentants des parties dans les locaux de la DGE. Or, l’autorité intimée, là également, n’a pas répondu de façon claire à cette demande, puisqu’elle a exprimé son souhait de vouloir discuter au préalable des termes d’une nouvelle convention avec la recourante. Là également, il ne s’agit pas d’une décision par laquelle l’autorité manifeste, sans ambiguïté aucune, son rejet d’une demande tendant à créer ou constater des droits et obligations au sens de l’art. 3 al. 1 let. c LPA-VD. L’autorité intimée ne peut dès lors pas être suivie lorsqu’elle soutient que la recourante aurait agi de façon tardive.</w:t>
      </w:r>
    </w:p>
    <w:p>
      <w:r>
        <w:rPr>
          <w:b/>
        </w:rPr>
        <w:t>E. 4</w:t>
      </w:r>
    </w:p>
    <w:p>
      <w:r>
        <w:t>Avant d’entrer en matière sur le recours, il reste à interpréter la correspondance de l’autorité intimée du 3 octobre 2014, que la recourante paraît considérer comme une décision négative. a) Toute personne a droit, dans une procédure judiciaire ou administrative, à ce que sa cause soit traitée équitablement et jugée dans un délai raisonnable (art. 29 al. 1 Cst.). L’autorité saisie d’une demande tendant au prononcé d’une décision vérifie d’abord si le demandeur dispose à cela d’un intérêt; à défaut, elle refuse d’entrer en matière. Si le demandeur a qualité de partie, l’autorité examine si les conditions matérielles que fixe la loi pour l’octroi de la décision réclamée sont remplies; selon la réponse à cette question, elle admettra la demande ou la rejettera; dans un cas comme dans l’autre, elle rendra une décision formelle, répondant aux exigences légales (cf. art. 42 LPA-VD; v. également ATF 130 II 521 consid. 2.5 p. 525/526; ATAF 2010/53 consid. 1.2.3; 2010/29 consid. 1.2.2; cf. en outre arrêt AC.2012.0344 du 22 mai 2013 consid. 2). b) Le Tribunal cantonal peut également être saisi d’un recours contre l’absence de décision, lorsque l’autorité tarde ou refuse à statuer (art. 74 al. 2 LPA-VD, applicable par renvoi de l’art. 99 de la même loi).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p. 525/526; ATAF 2010/53 consid. 1.2.3; 2010/29 consid. 1.2). S’il est admis, le recours pour déni de justice conduit au prononcé d’une décision en constatation de droit par l’autorité de recours; celle-ci ne statue pas elle-même au fond (arrêts AC.2012.0344 du 22 mai 2013, consid. 3; CR.2013.0004, du 28 mars 2013, consid. 3 et les arrêts cités; cf. ATAF 2010/53 consid. 1.2.3; 2009/1 consid. 4.2). c) En l’occurrence, la recourante a, le 9 septembre 2014, invité une seconde fois l’autorité intimée à approuver de manière formelle et écrite le transfert en sa faveur de la convention passée avec Y._______________ et à lui notifier une décision sur ce point, avec indication des voies et délais de recours. Pour toute réponse, l’autorité intimée a, dans sa réponse du 3 octobre 2014, simplement maintenu la position qui résultait de sa correspondance précédente du 29 août 2014. Ainsi qu’elle l’a demandé, la recourante était pourtant en droit d’obtenir de la part de l’autorité intimée une décision claire et dénuée d’ambiguïté sur l’approbation du transfert de la sous-concession. Force est cependant d’admettre qu’aucune décision sur ce point, même négative, ne lui a été notifiée, ceci d’autant moins que la correspondance évoquée est dépourvue de l’indication de la voie et du délai de recours. Cela constitue un déni de justice formel. Au surplus, l’on ne saurait considérer que ce vice a été réparé durant la procédure par les conclusions que l’autorité intimée a prises, lesquelles tendent au rejet du recours.</w:t>
      </w:r>
    </w:p>
    <w:p>
      <w:r>
        <w:rPr>
          <w:b/>
        </w:rPr>
        <w:t>E. 5</w:t>
      </w:r>
    </w:p>
    <w:p>
      <w:r>
        <w:t>Il suit de ce qui précède que le recours sera admis et l’autorité intimée, invitée à statuer sur l’approbation du transfert à la recourante de la sous-concession octroyée par la commune à Y._______________ le *************. Vu l’issue du recours, les frais seront laissés à la charge de l’Etat (art. 49 al. 1, 91 et 99 LPA-VD) et il ne sera pas alloué de dépens, aucune partie n’obtenant gain de cause (art. 33, 91 et 99 LPA-VD). Au surplus, dans la mesure où son mandataire est membre du conseil d’administration de la société recourante, il y a lieu de considérer que celle-ci a plaidé elle-même sa cause. Or, ce n'est qu'à certaines conditions (affaire compliquée, valeur litigieuse élevée, défense des intérêts ayant nécessité un travail important qui dépasse ce qui peut être raisonnablement exigé d'un justiciable) qu'une partie qui défend sa propre cause peut se voir exceptionnellement allouer des dépens (v. Bernard Corboz, in Commentaire de la LTF, Berne 2009, n. 15 ad art. 68 et les références citées); ces conditions ne sont pas réunies en l’espèce (dans le même sens, arrêt GE.2013.0144 du 28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