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GE.2014.0185 vom 12. Juni 2015</w:t>
      </w:r>
    </w:p>
    <w:p>
      <w:r>
        <w:t>VD Tribunal cantonal, 2015-06-12, FR</w:t>
      </w:r>
    </w:p>
    <w:p>
      <w:r>
        <w:rPr>
          <w:b/>
        </w:rPr>
        <w:t xml:space="preserve">Quelle: </w:t>
      </w:r>
      <w:r>
        <w:t>https://mcp.opencaselaw.ch/entscheid/vd_omni_GE.2014.0185</w:t>
      </w:r>
    </w:p>
    <w:p>
      <w:r>
        <w:t>FR: VD_OMNI GE.2014.0185 du 12 juin 2015</w:t>
      </w:r>
    </w:p>
    <w:p>
      <w:r>
        <w:t>IT: VD_OMNI GE.2014.0185 del 12 giugno 2015</w:t>
      </w:r>
    </w:p>
    <w:p>
      <w:pPr>
        <w:pStyle w:val="Heading2"/>
      </w:pPr>
      <w:r>
        <w:t>Regeste</w:t>
      </w:r>
    </w:p>
    <w:p>
      <w:r>
        <w:t>X.________ SA c/Service de la promotion économique et du commerce (SPECo), Municipalité de Prilly, Municipalité de Lausanne | Recourante qui soutient que l'exigence d'une autorisation au sens de l'art. 4 LADB pour vendre du vin uniquement par correspondance ne dispose pas d'une base légale. Le législateur cantonal a réglé de manière détaillée la question de la vente de boissons alcooliques. Il n’y a pas de violation du principe de clarté par la LADB. Cela n’exclut pas pour autant que le tribunal doive procéder à l’interprétation de la notion de débit de boissons à l'emporter. Pour la recourante, il ne peut s'agir que d'entreprises qui disposent d'un lieu de vente directe en plus de leur service de vente par correspondance. Son argumentation est infirmée par une interprétation téléologique de la loi, qui a pour souci de prévenir la consommation excessive d'alcool ainsi que de tenir les mineurs à l'écart de ce produit. C'est donc à juste titre que l'autorité intimée a considéré que l'activité de la recourante devait être soumise à autorisation et par conséquent que la recourante devait être assujettie à la taxe sur les débits de boissons alcooliques à l'emporter. En l'espèce, l'autorité intimée affirme qu'elle ouvre un dossier sur chaque cas signalé. S'il est possible que certains concurrents de la recourante n'aient pas encore été assujettis, cela ne signifie pas que l'autorité entend persister dans une pratique illégale. Rejet du grief tendant à un traitement égal dans l'illégalité. Rejet du recours. Par arrêt du 22 juin 2016 (dans la cause 2C_655/2015), le Tribunal fédéral a rejeté le recours déposé contre cet arrêt.</w:t>
      </w:r>
    </w:p>
    <w:p>
      <w:pPr>
        <w:pStyle w:val="Heading2"/>
      </w:pPr>
      <w:r>
        <w:t>Erwägungen</w:t>
      </w:r>
    </w:p>
    <w:p>
      <w:r>
        <w:rPr>
          <w:b/>
        </w:rPr>
        <w:t>E. 1</w:t>
      </w:r>
    </w:p>
    <w:p>
      <w:r>
        <w:t>La recourante sollicitent la tenue d'une inspection locale ainsi que l'audition de témoins.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Il porte sur des questions juridiques, à savoir l'existence d'une base légale et l'application du principe d'égalité, questions sur lesquelles le tribunal peut se prononcer sans recourir à une inspection locale ou à l’audition de témoins. Pour le reste, la recourante a pu faire valoir ses arguments lors de l'échange d'écritures intervenu dans la présente procédure. Il y a dès lors lieu de rejeter sa requête tendant à la tenue d'une inspection locale; il en va de même de la demande d'audition de témoins.</w:t>
      </w:r>
    </w:p>
    <w:p>
      <w:r>
        <w:rPr>
          <w:b/>
        </w:rPr>
        <w:t>E. 2</w:t>
      </w:r>
    </w:p>
    <w:p>
      <w:r>
        <w:t>La recourante avance en second lieu le grief d'incompétence de l'autorité intimée. Selon l'art. 6 al. 1 LADB, les communes qui en font la demande au département peuvent obtenir la délégation des compétences incombant à celui-ci. Ni l'autorité concernée 1 ni l'autorité concernée 2 n'ont demandé de délégation de compétence. La compétence de rendre une décision en matière d'autorisation simple relève ainsi du département, plus précisément de l'autorité intimée, par la PCC.</w:t>
      </w:r>
    </w:p>
    <w:p>
      <w:r>
        <w:rPr>
          <w:b/>
        </w:rPr>
        <w:t>E. 3</w:t>
      </w:r>
    </w:p>
    <w:p>
      <w:r>
        <w:t>La recourante interprète l'art. 2 let. d LADB en ce sens qu'il ne couvre pas son activité. Elle estime dès lors que son assujettissement ne repose sur aucune base légale. Il convient ainsi d'examiner si l'activité de la recourante peut être soumise à autorisation au sens des art. 2 let. d et 4 LADB. a) Qu'il soit ou non source de restriction à un droit fondamental (art. 36 Cst.), un régime d'autorisation n'est admissible que moyennant le respect des principes qui gouvernent l'activité étatique (art. 5 Cst.), à commencer par ceux de la légalité, de l'intérêt public et de la proportionnalité (Jacques Dubey / Jean-Baptiste Zufferey, Droit administratif général, Bâle 2014, n° 925). Cela vaut notamment aussi pour les autorisations de police, qui sont des autorisations administratives ayant pour effet de lever de manière individuelle et concrète une interdiction prononcée de manière générale et abstraite pour interdire ou contrôler une activité mettant en danger un intérêt de police tel que l'ordre public et la sécurité publique, la santé et la salubrité publiques, ainsi que la tranquillité publique (Dubey/Zufferey, op. cit., n os °1264 et 1282). Sous l'angle du principe de la légalité, il convient en l'occurrence d'examiner si l'exigence d'une autorisation pour vendre du vin uniquement par correspondance dispose d'une base légale. Le principe de la légalité recouvre deux aspects. Premièrement, la suprématie de la loi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exige que toute atteinte à la liberté ou à la propriété doit être fondée sur la loi. La loi doit revêtir une certaine densité normative, c’est-à-dire qu’elle doit présenter des garanties suffisantes de clarté, de précision et de transparence (cf. Andreas Auer / Giorgio Malinverni / Michel Hottelier, Droit constitutionnel suisse, volume I, L'Etat, 2 e éd., Berne 2006, p. 629). L’exigence de densité n'est pas absolue, car on ne saurait imposer au législateur de renoncer à des notions générales, comportant une part nécessaire d’interprétation. Cela tient au caractère général et abstrait de la règle de droit et à la nécessité de réserver une certaine marge de manoeuvre aux autorités d’application de la norme; le degré de précision requis ne se laisse pas définir abstraitement; il dépend de la diversité et de la complexité des situations à régler, du cercle des destinataires et de la gravité de l’atteinte aux droits des citoyens (ATF 131 II 13 consid. 6.5.1 p. 30; 129 I 161 consid. 2.2 p. 163, et les arrêts cités). La recourante invoque le principe de clarté, pour en déduire qu’une loi doit s’interpréter de manière littérale stricte. Or telle n’est pas la portée de ce principe, qui pose des exigences par rapport à la clarté du texte légal. Bien que conforme à l’exigence constitutionnelle de clarté, un texte légal peut encore devoir faire l’objet d’une interprétation par l’autorité qui l’applique. L’interprétation des notions juridiques est soumise à des règles précises, qui seront exposées ci-après. b) Selon son art. 1 er , la LADB a pour but de régler les conditions d'exploitation des établissements permettant le logement, la restauration, le service de boissons ainsi que les autres débits de mets et boissons (let. a), contribuer à la sauvegarde de l'ordre et la tranquillité publics (let. b), promouvoir un développement de qualité de l'hôtellerie et de la restauration, en particulier par la formation et le perfectionnement professionnels (let. c) et contribuer à la protection des consommateurs et à la vie sociale (let. d). L'art. 2 LADB prévoit que la loi s'applique au logement d'hôtes contre rémunération (let. a), au service, contre rémunération, ou à la vente de mets ou de boissons à consommer sur place (let. b), à l'usage de locaux pour la consommation, contre rémunération, de mets ou de boissons (let. c), à la vente à l'emporter de boissons alcooliques (let. d), à la livraison de mets (let. e). L'art. 4 dispose que l'exercice de l'une des activités soumises à la loi nécessite l'obtention préalable auprès de l'autorité compétente d'une licence d'établissement qui comprend l'autorisation d'exercer et l'autorisation d'exploiter (al. 1). Sont exceptés les autorisations spéciales, les traiteurs, les débits de boissons alcooliques à l'emporter, pour lesquels seule une autorisation simple est délivrée par le département à l'exploitant en vertu des articles 21, 23 et 24 (al. 4). Le titre IV de la loi est consacré aux traiteurs et débits à l'emporter. L'art. 23 LADB prévoit que l'activité de traiteur est soumise à l'obtention d'une autorisation simple au sens de l'art. 4, qui permet la livraison et le service de mets préparés et de boissons avec ou sans alcool (al. 1). Les magasins sont soumis aux règlements de police communaux qui fixent les heures d'ouverture et de fermeture. En dehors de ces heures, seuls la livraison et le service à domicile ou dans des locaux assimilés sont autorisés (al. 2). L'exploitation d'un débit de boissons alcooliques à l'emporter est soumise à l'obtention d'une autorisation simple au sens de l'art. 4, qui permet la vente au détail de boissons alcooliques (art. 24). L'art. 25 LADB dispose que les débits de boissons alcooliques à l'emporter sont soumis aux mêmes heures de fermeture que les autres commerces de la commune. La taxe sur les débits de boissons alcooliques à l'emporter fait l'objet du titre X (taxes, émoluments et contributions), chapitre II (taxe sur les débits de boissons alcooliques à l'emporter) de la loi (art. 53e ss LADB). Aux termes de l'art. 53e LADB, le Département cantonal prélève une taxe d'exploitation auprès des commerces au bénéfice d'une autorisation simple de débit de boissons alcooliques à l'emporter (al. 1). Cette taxe est fixée à 0,8% du chiffre d'affaires moyen réalisé sur les boissons alcooliques au cours des deux années précédentes (al. 2). La taxe est perçue annuellement et ne peut être inférieure à 100 fr. par an (al. 3). Le Conseil d'Etat fixe, par voie réglementaire, les modalités de perception de la taxe (al. 4). L'art. 53f LADB précise que les producteurs de vin du canton sont autorisés à vendre le produit de leur propre récolte sans être soumis à l'octroi d'une autorisation simple de débit de boissons alcooliques à l'emporter et au paiement d'une taxe d'exploitation. Enfin, l'art. 53i LADB autorise les communes à percevoir également une taxe d'exploitation auprès des titulaires d'autorisations simples de débits de boissons alcooliques à l'emporter, sous réserve que le montant de la taxe communale ne peut pas être supérieur à la taxe cantonale (art. 53i al. 1 et 2 LADB). Il ressort des dispositions citées ci-avant que le législateur cantonal a réglé de manière détaillée la question délicate de la vente de boissons alcooliques. Il a en particulier énuméré exhaustivement les activités soumises à la loi et également les activités soumises à la taxe. Il n’y a ainsi pas de violation du principe de clarté par la LADB. Le fait que la base légale applicable soit suffisamment claire n’exclut pas pour autant que les tribunaux doivent procéder à l’interprétation de certaines notions juridiques, comme on le verra ci-après. c) Les dispositions légales citées ci-avant règlent expressément l'assujettissement des débit de boissons à l'emporter. Il s'agit d'interpréter la notion de débit de boissons à l'emporter. Pour la recourante, il ne peut s'agir que d'entreprises qui disposent d'un lieu de vente directe en plus de leur service de vente par correspondance. A son sens, les entreprises ne se livrant qu'à la vente par correspondance ne sont pas visées par l'art. 2 let. d LADB. Elle fonde son interprétation sur l'art. 25 LADB ainsi que sur l'art. 26 LADB qui dispose "Les boissons alcooliques distillées ou considérées comme telles vendues par les titulaires d'autorisations simples de boissons alcooliques à l'emporter doivent être consommées hors du local de vente et de ses dépendances. Il est interdit au vendeur d'en faciliter la consommation à proximité immédiate, notamment en installant des tables et des chaises". Elle en déduit que, du point de vue du législateur, ne peut constituer un débit à l'emporter qu'un magasin avec un local de vente. Sous l'angle purement littéral et dans une optique restrictive, il est vrai que le terme "à emporter" n'englobe pas de manière évidente la vente par correspondance. Il ne l'exclut cependant pas non plus. A cet égard, l'arrêt FI.2007.0127 invoqué par la recourante n'apporte aucune précision.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139 II 49 consid. 5.3.1 p. 54, 78 consid. 2.4 p. 83; 139 III 78 consid. 4.3 p. 81/82; 138 II 105 consid. 5.2 p. 107/108, 217 consid. 4.1 p. 224, 440 consid. 13 p. 453, 557 consid. 7.1 p. 565/566, et les arrêts cités). En l'occurrence, les travaux préparatoires ne contiennent pas de définition plus précise du terme "à emporter". Ils n'intègrent ni n'excluent expressément la vente par correspondance (cf. BGC 2002 p. 7758, 7778 et 7805, séance du 22 mars 2002). Si on se réfère toutefois aux buts énoncés à l'art. 1 de la loi, on constate qu'en font partie notamment la sauvegarde de l'ordre et la tranquillité publics (let. b) ainsi que la protection des consommateurs et à la vie sociale (let. d). D'autres dispositions de la loi manifestent également le souci de prévenir la consommation excessive d'alcool ainsi que de tenir les mineurs à l'écart de ce produit (cf. art. 50 et 51 LADB). L'art. 2 de la loi concrétise ces buts en soumettant à autorisation diverses formes de livraison et service de boissons. L'analyse de la liste des exceptions (art. 3) montre que celle-ci concerne essentiellement des établissements non ouverts au public, difficilement accessibles (p.ex. certaines cabanes de montagne) ou ne servant pas de boissons alcooliques, en d'autres termes des établissements ou commerces ne présentant que des risques réduits en matière de consommation excessive d'alcool. Or la vente par correspondance permet un accès facilité aux boissons alcooliques. Il serait contraire au but et à l'esprit de la loi de permettre par ce biais une vente de boissons alcooliques sans autorisation. On voit mal pourquoi la vente à l'emporter qui permet notamment au vendeur de vérifier directement l'âge de l'acquéreur devrait être plus réglementée que la vente par correspondance. Il est vrai que la vente par correspondance implique un délai d'attente entre la commande et la possibilité de consommer la boisson alcoolique, contrairement à la vente à l'emporter ordinaire. Cet élément ne suffit toutefois pas à rendre sans risque ce type de vente et ne doit pas conduire à ce qu'elle puisse être effectuée en l'absence de toute autorisation. Au vu de ce qui précède, c'est à juste titre que l'autorité intimée a considéré que l'activité de la recourante devait être soumise à autorisation au sens de l'art. 4 LADB et par conséquent que la recourante devait être assujettie à la taxe sur les débits de boissons alcooliques à l'emporter.</w:t>
      </w:r>
    </w:p>
    <w:p>
      <w:r>
        <w:rPr>
          <w:b/>
        </w:rPr>
        <w:t>E. 4</w:t>
      </w:r>
    </w:p>
    <w:p>
      <w:r>
        <w:t>Il sied encore d'examiner si la recourante est victime d'une inégalité de traitement et si elle peut se prévaloir du principe de l'égalité dans l'illégalité pour ne pas être assujettie à la taxe. a) Une décision ou un arrêté viole le principe de l'égalité de traitement consacré à l'art. 8 al. 1 Cst. lorsqu'il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 ATF 138 I 205 consid. 5.4 p. 213; TF 2C_608/2007 du 30 mai 2008 consid. 4 et les références).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(TF 2C_442/2012 du 14 décembre 2012 consid. 5.5, in RDAF 2013 II 60; TF 1C_482/2010 du 14 avril 2011 consid. 5.1; ég. ATF 136 I 65 consid. 5.6 p. 78 s. et les références citées). Il faut encore que l'autorité n'ait pas respecté la loi selon une pratique constante, et non pas dans un ou quelques cas isolés (ATF 132 II 485 consid. 8.6 p. 510), et qu'aucun intérêt public ou privé prépondérant n'impose de donner la préférence au respect de la légalité (voir TF 2C_490/2014 du 26 novembre 2014 consid. 3.2). b) En l'espèce, l'autorité intimée affirme qu'il n'y a pas d'égalité dans l'illégalité et qu'elle ouvre un dossier sur chaque cas signalé par une commune ou un administré ou repéré sur internet. S'il est possible que certains concurrents de la recourante n'aient pas encore été assujettis, cela est loin de signifier que l'autorité entend persister dans une pratique illégale. Ceci semble confirmé par le fait que l'autorité intimée a établi, en date du 8 février 2013, une circulaire destinée aux exploitants de débits de boissons à l'emporter dans laquelle elle expose que la base de calcul de la taxe d'exploitation est constitué par le chiffre d'affaires réalisé sur la vente au détail de boissons alcooliques, en précisant ce qui suit: "Est considéré comme vente en gros de boissons alcooliques toute livraison à des revendeurs ou à des entreprises qui emploient des boissons distillées dans l'élaboration de leurs produits. Toute autre forme de vente (soit notamment la vente à l'emporter, la livraison à des particuliers, la vente par internet) est considérée comme une vente au détail". Il n'y a en l'occurrence pas lieu de considérer que l'administration n'a pas observé la loi et qu'elle persévérera dans cette inobservation. Le grief tendant à un traitement égal dans l'illégalité doit donc être rejeté.</w:t>
      </w:r>
    </w:p>
    <w:p>
      <w:r>
        <w:rPr>
          <w:b/>
        </w:rPr>
        <w:t>E. 5</w:t>
      </w:r>
    </w:p>
    <w:p>
      <w:r>
        <w:t>Vu ce qui précède, le recours doit être rejeté et la décision attaquée confirmée, aux frais de la recourante, qui succombe (art. 49 al. 1 de la loi sur la procédure administrative du 28 octobre 2008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