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GE.2014.0166 vom 5. Januar 2015</w:t>
      </w:r>
    </w:p>
    <w:p>
      <w:r>
        <w:t>VD Tribunal cantonal, 2015-01-05, FR</w:t>
      </w:r>
    </w:p>
    <w:p>
      <w:r>
        <w:rPr>
          <w:b/>
        </w:rPr>
        <w:t xml:space="preserve">Quelle: </w:t>
      </w:r>
      <w:r>
        <w:t>https://mcp.opencaselaw.ch/entscheid/vd_omni_GE.2014.0166</w:t>
      </w:r>
    </w:p>
    <w:p>
      <w:r>
        <w:t>FR: VD_OMNI GE.2014.0166 du 5 janvier 2015</w:t>
      </w:r>
    </w:p>
    <w:p>
      <w:r>
        <w:t>IT: VD_OMNI GE.2014.0166 del 5 gennaio 2015</w:t>
      </w:r>
    </w:p>
    <w:p>
      <w:pPr>
        <w:pStyle w:val="Heading2"/>
      </w:pPr>
      <w:r>
        <w:t>Regeste</w:t>
      </w:r>
    </w:p>
    <w:p>
      <w:r>
        <w:t>X.________/Service de l'emploi Contrôle du marché du travail et protection des travailleurs, Service de la population (SPOP) | Entreprise qui a employé un ressortissant étranger qui n'était pas titulaire d'une autorisation de travail. Argument de la bonne foi écarté. La sanction prononcée, qui se limite à une sommation, respecte le principe de la proportionnalité. C'est par ailleurs à juste titre que les frais du contrôle effectué ont été mis à la charge de la recourante. Recours rejeté.</w:t>
      </w:r>
    </w:p>
    <w:p>
      <w:pPr>
        <w:pStyle w:val="Heading2"/>
      </w:pPr>
      <w:r>
        <w:t>Erwägungen</w:t>
      </w:r>
    </w:p>
    <w:p>
      <w:r>
        <w:rPr>
          <w:b/>
        </w:rPr>
        <w:t>E. 1</w:t>
      </w:r>
    </w:p>
    <w:p>
      <w:r>
        <w:t>a) 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l’emploi rendues en matière de police des étrangers. b) Déposé dans le délai de trente jours fixé par l’art. 95 LPA-VD, prolongé compte tenu des féries, le recours est intervenu en temps utile. Il respecte au surplus les conditions formelles énoncées à l’art. 79 LPA-VD.</w:t>
      </w:r>
    </w:p>
    <w:p>
      <w:r>
        <w:rPr>
          <w:b/>
        </w:rPr>
        <w:t>E. 2</w:t>
      </w:r>
    </w:p>
    <w:p>
      <w:r>
        <w:t>La recourante a requis la production du dossier de A.________ auprès du Contrôle des habitants de la ville de 3********. Elle entend démontrer que dès lors que les autorités 3******** ont aussi enregistré le prénommé comme citoyen finlandais sur la base du même document que celui qui lui a été présenté, son erreur sur ce point était excusable.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p. 277; 127 III 576 consid. 2c p. 578 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134 I 140 consid. 5.3 p. 148 et les références). b) En l'occurrence, il ne sera pas donné suite à la mesure d'instruction requise par la recourante. En effet, le Contrôle des habitants de la commune de 3******** n'est pas l'autorité compétente pour délivrer les autorisations de séjour. Le fait qu'elle aurait enregistré A.________ comme citoyen finlandais n'est pas déterminant car, comme on le verra ci-dessous, la recourante devait, sur la base du document d'identité que son employé lui a présenté, avoir suffisamment de doutes sur sa nationalité pour poursuivre ses vérifications à ce sujet. Dès lors, par appréciation anticipée de ce moyen de preuve, la requête doit être rejetée.</w:t>
      </w:r>
    </w:p>
    <w:p>
      <w:r>
        <w:rPr>
          <w:b/>
        </w:rPr>
        <w:t>E. 3</w:t>
      </w:r>
    </w:p>
    <w:p>
      <w:r>
        <w:t>(…)" bb) En l'espèce, il n'est pas contesté que lors du contrôle du 19 mai 2014, A.________ travaillait pour le compte de la recourante, sans être au bénéfice d'une autorisation de travail valable. La recourante invoque sa bonne foi, en soutenant qu'elle se serait fait induire en erreur par le document d'identité finlandais que lui avait présenté A.________. Dans le formulaire de demande de permis de travail qu'elle a soumis au SDE, la recourante, se fondant sur le " Passeport d'étranger " émis par les autorités finlandaises qui lui avait été soumis, a mentionné que A.________ était de nationalité finlandaise. Celui-ci l'a confirmé en contresignant le formulaire en question. A.________ a aussi indiqué cette nationalité dans le formulaire d'annonce d'arrivée en Suisse, alors qu'en réalité, il est de nationalité kosovare. Ces faits ne permettent pas encore de retenir une erreur excusable au bénéfice de la recourante. En effet, le " passeport d'étranger " présenté mentionnait expressément que la nationalité de A.________ était inconnue (" Nationalitiy unknown "). L'argument selon lequel le responsable de la recourante ne maîtrise pas l'anglais et qu'il ne pouvait dès lors pas comprendre la signification de cette mention, doit être écarté. Cette indication ne désignait clairement pas la Finlande, ni d'ailleurs aucun autre Etat. Le document présenté aurait dès lors dû interpeller la recourante et la conduire à investiguer plus avant la question de la nationalité de son employé avant de le faire travailler sur des chantiers. Ces doutes ne pouvaient qu'être renforcés par l'indication sur le document litigieux de la ville kosovare de 4******** comme lieu d'origine de A.________, l'associé gérant de la recourante étant également originaire du Kosovo. Au regard de ces éléments, c'est à juste titre que l'autorité intimée a considéré que la recourante avait violé son devoir de diligence et, partant, contrevenu à l'art. 91 LEtr, en ne s'assurant pas que A.________ était autorisé à exercer une activité en Suisse au moment de sa prise d'emploi. Le Ministère public est parvenu au même constat, puisqu'il a condamné l'associé gérant de la recourante pour emploi d'étrangers sans autorisation. b) La décision entreprise devant être confirmée dans son principe, il convient d'examiner l'adéquation de la sanction prononcée à l'encontre de la recourante. aa) S’agissant des sanctions, le principe de la proportionnalité impose – en matière administrative – une appréciation différenciée de chaque situation en tenant compte des circonstances concrètes du cas d'espèce (ATF 135 II 377, 120 V 48, ég. Pierre Moor, Droit administratif, vol. II, 3 ème éd., Berne 2011, p. 136), ce qui correspond à l’obligation que l’on trouve en matière pénale d’apprécier les circonstances subjectives du comportement répréhensible. Pour apprécier si le principe de proportionnalité a été respecté, il y a lieu de tenir compte des critères suivants: la gravité de l'infraction, les conséquences de la sanction pour l'intéressé, le comportement antérieur de l'intéressé et, bien sûr, l'intérêt public en cause (ATF 103 Ib 126 consid. 5 p. 130 [retrait du droit d'importer]). Dans sa jurisprudence, le Tribunal administratif puis la CDAP ont rappelé la nécessité pour l'autorité d'adresser à l'entreprise un avertissement écrit concernant les sanctions qu'elle pourra encourir, surtout s'il s'agit d'une première infraction ou d'une infraction mineure, avant que ne soit prononcé à son encontre un blocage des autorisations. Ils ont jugé que le principe de la proportionnalité était violé en l'absence d'une telle sommation préalable (arrêts PE.2013.0322 du 13 février 2014, PE.2013.0138 du 18 septembre 2013 et PE.2012.0116 du 18 décembre 2012). Dans un arrêt PE.2005.0416 du 28 mars 2006, le Tribunal administratif avait toutefois relevé que la gravité de la faute - cinq travailleurs étrangers en situation irrégulière, dont certains pendant plusieurs années - pouvait justifier sans sommation une sanction de trois à six mois. bb) En l'espèce, la sanction se limite à une sommation. Conformément aux principes jurisprudentiels rappelés ci-dessus, cette sanction, qui est la plus clémente, respecte le principe de proportionnalité. Il s'ensuit que la décision intitulée "Infractions au droit des étrangers" doit être confirmée.</w:t>
      </w:r>
    </w:p>
    <w:p>
      <w:r>
        <w:rPr>
          <w:b/>
        </w:rPr>
        <w:t>E. 4</w:t>
      </w:r>
    </w:p>
    <w:p>
      <w:r>
        <w:t>al. 1 LTN). La loi cantonale du 5 juillet 2005 sur l'emploi (LEmp; RSV 822.11), entrée en vigueur le 1 er janvier 2006, a notamment pour but de mettre en œuvre les mesures de lutte contre le travail au noir (art. 1 al. 2 let. f LEmp). Le Service de l’emploi est l’organe de contrôle cantonal compétent au sens de la LTN (art. 72 LEmp). b)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(ordonnance sur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que les personnes contrôlées n’ayant pas respecté leurs obligations en matière d’annonce et d’autorisation visées à l’art. 6 LTN s’acquittent d’un émolument d’un montant de 100 fr. par heure. d) En l'espèce, il est établi que la recourante a occupé à son service un travailleur étranger sans autorisation de travail en Suisse. C'est dès lors à juste titre que l'autorité intimée a sur le principe mis à sa charge les frais occasionnés par le contrôle du 19 mai 2014. Pour le surplus, la recourante ne conteste ni le décompte d'heures ni le tarif appliqué – seul le principe de la condamnation étant contesté. La seconde décision du 14 juillet 2014 intitulée " Décision de facturation des frais de contrôle" est donc également bien fondée.</w:t>
      </w:r>
    </w:p>
    <w:p>
      <w:r>
        <w:rPr>
          <w:b/>
        </w:rPr>
        <w:t>E. 5</w:t>
      </w:r>
    </w:p>
    <w:p>
      <w:r>
        <w:t>Les considérants qui précèdent conduisent au rejet du recours et à la confirmation des décisions attaquées. La recourante, qui succombe, supportera les frais de justice des deux causes jointes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