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GE.2014.0067 vom 13. Januar 2015</w:t>
      </w:r>
    </w:p>
    <w:p>
      <w:r>
        <w:t>VD Tribunal cantonal, 2015-01-13, FR</w:t>
      </w:r>
    </w:p>
    <w:p>
      <w:r>
        <w:rPr>
          <w:b/>
        </w:rPr>
        <w:t xml:space="preserve">Quelle: </w:t>
      </w:r>
      <w:r>
        <w:t>https://mcp.opencaselaw.ch/entscheid/vd_omni_GE.2014.0067</w:t>
      </w:r>
    </w:p>
    <w:p>
      <w:r>
        <w:t>FR: VD_OMNI GE.2014.0067 du 13 janvier 2015</w:t>
      </w:r>
    </w:p>
    <w:p>
      <w:r>
        <w:t>IT: VD_OMNI GE.2014.0067 del 13 gennaio 2015</w:t>
      </w:r>
    </w:p>
    <w:p>
      <w:pPr>
        <w:pStyle w:val="Heading2"/>
      </w:pPr>
      <w:r>
        <w:t>Regeste</w:t>
      </w:r>
    </w:p>
    <w:p>
      <w:r>
        <w:t>AX.________, BX.________ c/Office de l'information sur le territoire (OIT) | Ordre de déplacer deux signes de démarcation. Cet acte n'a pas pour effet de créer, modifier ou supprimer un rapport de droit entre l'administration et le citoyen. Le déplacement des bornes litigieuses n'est qu'une étape en vue de l'établissement du nouveau plan du registre foncier. Il n'a pas pour effet d'atteindre les recourants dans leur droit de propriété, les limites figurant sur le plan l'emportant sur la démarcation sur le terrain. C'est au stade de la mise à l'enquête du nouveau plan du registre foncier que les recourants pourront faire valoir leurs contestations. Recours irrecevable, faute de décision. Recours au TF rejeté dans le mesure où il est recevable (arrêt 5A_125/2015 du 30.07.2015)</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La décision est un acte de souveraineté individuel, qui s'adresse à un particulier, et qui règle de manière obligatoire et contraignante, à titre formateur ou constatatoire, un rapport juridique concret relevant du droit administratif (ATF 135 II 38 consid. 4.3 p. 45 et les réf. cit.; 121 II 473 consid. 2a p. 372). En d'autres termes, elle constitue un acte étatique qui touche la situation juridique de l'intéressé, l'astreignant à faire, à s'abstenir ou à tolérer quelque chose, ou qui règle d'une autre manière obligatoire ses rapports juridiques avec l'Etat (ATF 135 II 22 consid. 1.2 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(voir notamment arrêt GE.2014.0041 du 27 mai 2014 et les références). b) En l'espèce, l'acte attaqué est une lettre de l'autorité intimée qui fait suite à plusieurs échanges avec les recourants et qui confirme l'ordre de déplacer deux signes de démarcation. Cet acte n'a pas pour effet de créer, modifier ou supprimer un rapport de droit entre l'administration et le citoyen. Le déplacement des bornes litigieuses n'est qu'une étape en vue de l'établissement du nouveau plan du registre foncier. Il n'a pas pour effet d'atteindre les recourants dans leur droit de propriété, les limites figurant sur le plan l'emportant sur la démarcation sur le terrain (voir à cet égard art. 668 du Code civil suisse du 10 décembre 1907 – CC; RS 210). Comme le relève à juste titre l'autorité, c'est au stade de la mise à l'enquête publique du nouveau plan du registre foncier (art. 28 de l'ordonnance fédérale du 18 novembre 1992 sur la mensuration officielle – OMO; RS 211.432.2; art. 29 de la loi vaudoise du 8 mai 2012 sur la géoinformation – LGéo-VD; RSV 510.62) que les recourants pourront faire valoir leurs contestations. En outre, contrairement à ce que soutiennent les recourants, leur situation dans la perspective d'une procédure civile contre leur voisin ne sera pas péjorée s'ils attendent la mise à l'enquête. En effet, que les bornes litigieuses soient déplacées maintenant ou à la fin de la mensuration officielle, c'est bien aux intéressés qu'il incombera d'ouvrir action pour contester la position du bureau Z.________ (art. 29 al. 2 dernière phrase LGéo-VD). L'acte attaqué n'est donc pas une décision au sens de l'art. 3 LPA-VD: 2. En conséquence, le recours doit être déclaré irrecevable. Les recourants, qui succombent, supporteront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